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C">
      <w:pPr>
        <w:spacing w:before="103" w:line="256" w:lineRule="auto"/>
        <w:ind w:left="115" w:right="909" w:firstLine="0"/>
        <w:jc w:val="both"/>
        <w:rPr>
          <w:sz w:val="18"/>
          <w:szCs w:val="18"/>
        </w:rPr>
      </w:pPr>
      <w:r w:rsidDel="00000000" w:rsidR="00000000" w:rsidRPr="00000000">
        <w:rPr>
          <w:color w:val="696969"/>
          <w:sz w:val="18"/>
          <w:szCs w:val="18"/>
          <w:rtl w:val="0"/>
        </w:rPr>
        <w:t xml:space="preserve">Este documento  contiene la información básica, sobre los atributos y riesgos asociados con el fondo mutuo, que  el inversionista debe conocer antes de realizar la suscripción de cuotas. De este modo, la decisión sobre la conveniencia o no de invertir es de su exclusiva responsabilidad.</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73025</wp:posOffset>
            </wp:positionH>
            <wp:positionV relativeFrom="paragraph">
              <wp:posOffset>-1458335</wp:posOffset>
            </wp:positionV>
            <wp:extent cx="6988175" cy="1266825"/>
            <wp:effectExtent b="0" l="0" r="0" t="0"/>
            <wp:wrapNone/>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988175" cy="1266825"/>
                    </a:xfrm>
                    <a:prstGeom prst="rect"/>
                    <a:ln/>
                  </pic:spPr>
                </pic:pic>
              </a:graphicData>
            </a:graphic>
          </wp:anchor>
        </w:drawing>
      </w:r>
    </w:p>
    <w:p w:rsidR="00000000" w:rsidDel="00000000" w:rsidP="00000000" w:rsidRDefault="00000000" w:rsidRPr="00000000" w14:paraId="0000000D">
      <w:pPr>
        <w:spacing w:before="117" w:lineRule="auto"/>
        <w:ind w:left="115" w:firstLine="0"/>
        <w:jc w:val="both"/>
        <w:rPr>
          <w:sz w:val="18"/>
          <w:szCs w:val="18"/>
        </w:rPr>
      </w:pPr>
      <w:r w:rsidDel="00000000" w:rsidR="00000000" w:rsidRPr="00000000">
        <w:rPr>
          <w:color w:val="696969"/>
          <w:sz w:val="18"/>
          <w:szCs w:val="18"/>
          <w:rtl w:val="0"/>
        </w:rPr>
        <w:t xml:space="preserve">Fecha de entrada en vigencia del documento: 28 de febrero de 2024</w:t>
      </w:r>
      <w:r w:rsidDel="00000000" w:rsidR="00000000" w:rsidRPr="00000000">
        <w:rPr>
          <w:rtl w:val="0"/>
        </w:rPr>
      </w:r>
    </w:p>
    <w:p w:rsidR="00000000" w:rsidDel="00000000" w:rsidP="00000000" w:rsidRDefault="00000000" w:rsidRPr="00000000" w14:paraId="0000000E">
      <w:pPr>
        <w:spacing w:before="135" w:line="256" w:lineRule="auto"/>
        <w:ind w:left="115" w:right="919" w:firstLine="0"/>
        <w:jc w:val="both"/>
        <w:rPr>
          <w:sz w:val="18"/>
          <w:szCs w:val="18"/>
        </w:rPr>
      </w:pPr>
      <w:r w:rsidDel="00000000" w:rsidR="00000000" w:rsidRPr="00000000">
        <w:rPr>
          <w:color w:val="696969"/>
          <w:sz w:val="18"/>
          <w:szCs w:val="18"/>
          <w:rtl w:val="0"/>
        </w:rPr>
        <w:t xml:space="preserve">Inscripción en el RPMV: Blum Bonos Globales Fondo Mutuo (en adelante, “FONDO”) fue inscrito en la SMV de forma automática con fecha 25 de enero de 2024</w:t>
      </w:r>
      <w:r w:rsidDel="00000000" w:rsidR="00000000" w:rsidRPr="00000000">
        <w:rPr>
          <w:rtl w:val="0"/>
        </w:rPr>
      </w:r>
    </w:p>
    <w:p w:rsidR="00000000" w:rsidDel="00000000" w:rsidP="00000000" w:rsidRDefault="00000000" w:rsidRPr="00000000" w14:paraId="0000000F">
      <w:pPr>
        <w:spacing w:before="118" w:line="256" w:lineRule="auto"/>
        <w:ind w:left="115" w:right="918" w:firstLine="0"/>
        <w:jc w:val="both"/>
        <w:rPr>
          <w:sz w:val="18"/>
          <w:szCs w:val="18"/>
        </w:rPr>
      </w:pPr>
      <w:r w:rsidDel="00000000" w:rsidR="00000000" w:rsidRPr="00000000">
        <w:rPr>
          <w:color w:val="696969"/>
          <w:sz w:val="18"/>
          <w:szCs w:val="18"/>
          <w:rtl w:val="0"/>
        </w:rPr>
        <w:t xml:space="preserve">Es un fondo administrado y gestionado por Blum Sociedad Administradora de Fondos S.A. (en adelante la Administradora).</w:t>
      </w:r>
      <w:r w:rsidDel="00000000" w:rsidR="00000000" w:rsidRPr="00000000">
        <w:rPr>
          <w:rtl w:val="0"/>
        </w:rPr>
      </w:r>
    </w:p>
    <w:p w:rsidR="00000000" w:rsidDel="00000000" w:rsidP="00000000" w:rsidRDefault="00000000" w:rsidRPr="00000000" w14:paraId="00000010">
      <w:pPr>
        <w:spacing w:before="117" w:lineRule="auto"/>
        <w:ind w:left="115" w:firstLine="0"/>
        <w:jc w:val="both"/>
        <w:rPr>
          <w:sz w:val="18"/>
          <w:szCs w:val="18"/>
        </w:rPr>
      </w:pPr>
      <w:r w:rsidDel="00000000" w:rsidR="00000000" w:rsidRPr="00000000">
        <w:rPr>
          <w:color w:val="696969"/>
          <w:sz w:val="18"/>
          <w:szCs w:val="18"/>
          <w:rtl w:val="0"/>
        </w:rPr>
        <w:t xml:space="preserve">Plazo de vigencia: Indeﬁnido.</w:t>
      </w:r>
      <w:r w:rsidDel="00000000" w:rsidR="00000000" w:rsidRPr="00000000">
        <w:rPr>
          <w:rtl w:val="0"/>
        </w:rPr>
      </w:r>
    </w:p>
    <w:p w:rsidR="00000000" w:rsidDel="00000000" w:rsidP="00000000" w:rsidRDefault="00000000" w:rsidRPr="00000000" w14:paraId="00000011">
      <w:pPr>
        <w:spacing w:before="135" w:lineRule="auto"/>
        <w:ind w:left="115" w:firstLine="0"/>
        <w:rPr>
          <w:b w:val="1"/>
          <w:i w:val="1"/>
          <w:sz w:val="18"/>
          <w:szCs w:val="18"/>
        </w:rPr>
        <w:sectPr>
          <w:headerReference r:id="rId8" w:type="default"/>
          <w:pgSz w:h="16840" w:w="11920" w:orient="portrait"/>
          <w:pgMar w:bottom="280" w:top="1220" w:left="800" w:right="0" w:header="513" w:footer="720"/>
          <w:pgNumType w:start="1"/>
        </w:sectPr>
      </w:pPr>
      <w:r w:rsidDel="00000000" w:rsidR="00000000" w:rsidRPr="00000000">
        <w:rPr>
          <w:b w:val="1"/>
          <w:i w:val="1"/>
          <w:color w:val="696969"/>
          <w:sz w:val="18"/>
          <w:szCs w:val="18"/>
          <w:u w:val="single"/>
          <w:rtl w:val="0"/>
        </w:rPr>
        <w:t xml:space="preserve">Objetivos y Política de Inversión</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15" w:right="38"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El FONDO es un fondo ﬂexible y tiene como objetivo lograr un retorno no menor al indicador de comparación de rendimiento establecido en el presente Prospecto Simpliﬁcado. Para lograrlo, la Administradora invertirá como mínimo el 50% del activo total del FONDO en instrumentos de deuda y en fondos mutuos abiertos, fondos de inversión y fondos bursátiles o Exchange Traded Funds (ETFs) que a su vez invierten en instrumentos de deuda.</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115" w:right="43"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El FONDO podrá invertir como máximo el 50% del activo total en instrumentos representativos  de  participación  como cuotas de participación de fondos mutuos y/o ETFs. Asimismo, el FONDO podrá invertir hasta el 40% del total del activo en entidades ﬁnancieras, instrumentos representativos de deuda emitidos por el Gobierno Central y  el  Banco  Central  de Reserva del Perú.</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115" w:right="39" w:firstLine="0"/>
        <w:jc w:val="both"/>
        <w:rPr>
          <w:color w:val="696969"/>
          <w:sz w:val="16"/>
          <w:szCs w:val="16"/>
        </w:rPr>
      </w:pP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El FONDO no invertirá en instrumentos de empresas vinculadas a la Administradora. El FONDO podrá invertir en el mercado local hasta el 40% y en el extranjero como mínimo el 60% y como máximo el 100% del activo total del FONDO. El nivel de apalancamiento del FONDO será del 40% del activo total. El FONDO puede invertir en instrumentos derivados (forwards) dentro de los límites establecidos en la política de inversión. La inversión en derivados se realiza como parte de la estrategia de inversión y para el manejo eﬁciente del portafolio</w:t>
      </w:r>
      <w:r w:rsidDel="00000000" w:rsidR="00000000" w:rsidRPr="00000000">
        <w:rPr>
          <w:rFonts w:ascii="Calibri" w:cs="Calibri" w:eastAsia="Calibri" w:hAnsi="Calibri"/>
          <w:b w:val="0"/>
          <w:i w:val="0"/>
          <w:smallCaps w:val="0"/>
          <w:strike w:val="0"/>
          <w:color w:val="1154cc"/>
          <w:sz w:val="20"/>
          <w:szCs w:val="20"/>
          <w:u w:val="none"/>
          <w:shd w:fill="auto" w:val="clear"/>
          <w:vertAlign w:val="baseline"/>
          <w:rtl w:val="0"/>
        </w:rPr>
        <w:t xml:space="preserve">.</w:t>
      </w:r>
      <w:r w:rsidDel="00000000" w:rsidR="00000000" w:rsidRPr="00000000">
        <w:rPr>
          <w:color w:val="696969"/>
          <w:sz w:val="16"/>
          <w:szCs w:val="16"/>
          <w:rtl w:val="0"/>
        </w:rPr>
        <w:t xml:space="preserve"> </w:t>
      </w:r>
      <w:r w:rsidDel="00000000" w:rsidR="00000000" w:rsidRPr="00000000">
        <w:rPr>
          <w:color w:val="696969"/>
          <w:sz w:val="16"/>
          <w:szCs w:val="16"/>
          <w:rtl w:val="0"/>
        </w:rPr>
        <w:t xml:space="preserve">La inversión en instrumentos derivados tiene como fin cubrir el portafolio ante movimientos adversos en las tasas de interés y/o cotización de otras monedas diferentes a la moneda del valor cuota del FONDO. Los derivados sin fines de cobertura serán opciones financieras sobre un activo financiero subyacente que pueden ser adquiridas de manera individual o empaquetadas que ofrecerán un rendimiento adicional al Fondo en caso se cumplan ciertas condiciones inherentes a la estructura pactada.</w:t>
      </w:r>
      <w:r w:rsidDel="00000000" w:rsidR="00000000" w:rsidRPr="00000000">
        <w:rPr>
          <w:color w:val="696969"/>
          <w:sz w:val="16"/>
          <w:szCs w:val="16"/>
          <w:rtl w:val="0"/>
        </w:rPr>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15" w:right="41"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El FONDO invertirá en el mercado local e internacional en instrumentos de deuda de largo plazo con clasiﬁcación de riesgo entre AAA y B-. Asimismo, podrá invertir en instrumentos de deuda de corto plazo con niveles de riesgo categoría CP-1 y hasta CP-3 en el mercado local y en el mercado extranjero.</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15" w:right="44"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La duración promedio de los instrumentos representativos de deuda del Fondo estará entre los 3 y 8 años. La selección de mercados, emisores, duración, riesgo crediticio y moneda se hará de acuerdo a la evaluación que el Comité de Inversiones realice respecto a la coyuntura de tasas de interés, fortaleza crediticia  de distintos tipos de emisores y las perspectivas de  la economía global, entre otros factores.</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115" w:right="38"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Los mercados principales serán los de bonos del tesoro y corporativos a nivel global. En términos geográﬁcos, el portafolio estará expuesto tanto a mercados desarrollados como emergentes. El FONDO estará denominado en dólares americanos, pero los bonos, fondos y ETFs que componen el portafolio podrán estar denominados en monedas distintas al dólar americano.</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115"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br w:type="column"/>
      </w: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El comparador de rendimientos del FONDO estará compuesto</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40" w:lineRule="auto"/>
        <w:ind w:left="115" w:right="773"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por: 1) Un 90% será la evolución del iShares  US  Aggregate Bond UCITS ETF, Clase Acumulativa (Ticker: IUAA); y 2) El restante 10% será la evolución del iShares $ Treasury  Bond 0-1yr UCITS ETF, Clase Acumulativa (Ticker: IB01). El riesgo y rendimiento de los instrumentos que forman parte de la cartera del fondo, no necesariamente corresponden al riesgo y rendimiento de los instrumentos representados por el indicador de comparación de rendimientos. La información de Valor Cuota diario para cada caso está en:</w:t>
      </w: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50"/>
        </w:tabs>
        <w:spacing w:after="0" w:before="119" w:line="240" w:lineRule="auto"/>
        <w:ind w:left="115" w:right="774"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iShares US Aggregate Bond UCITS ETF, Clase Acumulativa (Ticker: IUAA):</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15" w:right="852" w:firstLine="0"/>
        <w:jc w:val="left"/>
        <w:rPr>
          <w:rFonts w:ascii="Calibri" w:cs="Calibri" w:eastAsia="Calibri" w:hAnsi="Calibri"/>
          <w:b w:val="0"/>
          <w:i w:val="0"/>
          <w:smallCaps w:val="0"/>
          <w:strike w:val="0"/>
          <w:color w:val="000000"/>
          <w:sz w:val="16"/>
          <w:szCs w:val="16"/>
          <w:u w:val="none"/>
          <w:shd w:fill="auto" w:val="clear"/>
          <w:vertAlign w:val="baseline"/>
        </w:rPr>
      </w:pPr>
      <w:hyperlink r:id="rId9">
        <w:r w:rsidDel="00000000" w:rsidR="00000000" w:rsidRPr="00000000">
          <w:rPr>
            <w:rFonts w:ascii="Calibri" w:cs="Calibri" w:eastAsia="Calibri" w:hAnsi="Calibri"/>
            <w:b w:val="0"/>
            <w:i w:val="0"/>
            <w:smallCaps w:val="0"/>
            <w:strike w:val="0"/>
            <w:color w:val="1154cc"/>
            <w:sz w:val="16"/>
            <w:szCs w:val="16"/>
            <w:u w:val="single"/>
            <w:shd w:fill="auto" w:val="clear"/>
            <w:vertAlign w:val="baseline"/>
            <w:rtl w:val="0"/>
          </w:rPr>
          <w:t xml:space="preserve">https://www.blackrock.com/americas-offshore/en/products/28</w:t>
        </w:r>
      </w:hyperlink>
      <w:r w:rsidDel="00000000" w:rsidR="00000000" w:rsidRPr="00000000">
        <w:rPr>
          <w:rFonts w:ascii="Calibri" w:cs="Calibri" w:eastAsia="Calibri" w:hAnsi="Calibri"/>
          <w:b w:val="0"/>
          <w:i w:val="0"/>
          <w:smallCaps w:val="0"/>
          <w:strike w:val="0"/>
          <w:color w:val="1154cc"/>
          <w:sz w:val="16"/>
          <w:szCs w:val="16"/>
          <w:u w:val="none"/>
          <w:shd w:fill="auto" w:val="clear"/>
          <w:vertAlign w:val="baseline"/>
          <w:rtl w:val="0"/>
        </w:rPr>
        <w:t xml:space="preserve"> </w:t>
      </w:r>
      <w:hyperlink r:id="rId10">
        <w:r w:rsidDel="00000000" w:rsidR="00000000" w:rsidRPr="00000000">
          <w:rPr>
            <w:rFonts w:ascii="Calibri" w:cs="Calibri" w:eastAsia="Calibri" w:hAnsi="Calibri"/>
            <w:b w:val="0"/>
            <w:i w:val="0"/>
            <w:smallCaps w:val="0"/>
            <w:strike w:val="0"/>
            <w:color w:val="1154cc"/>
            <w:sz w:val="16"/>
            <w:szCs w:val="16"/>
            <w:u w:val="single"/>
            <w:shd w:fill="auto" w:val="clear"/>
            <w:vertAlign w:val="baseline"/>
            <w:rtl w:val="0"/>
          </w:rPr>
          <w:t xml:space="preserve">7339/ishares-us-aggregate-bond-ucits-etf#/</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35"/>
        </w:tabs>
        <w:spacing w:after="0" w:before="119" w:line="240" w:lineRule="auto"/>
        <w:ind w:left="115" w:right="779"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iShares $ Treasury Bond 0-1yr UCITS ETF, Clase Acumulativa (Ticker: IB01):</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15" w:right="818" w:firstLine="0"/>
        <w:jc w:val="left"/>
        <w:rPr>
          <w:rFonts w:ascii="Calibri" w:cs="Calibri" w:eastAsia="Calibri" w:hAnsi="Calibri"/>
          <w:b w:val="0"/>
          <w:i w:val="0"/>
          <w:smallCaps w:val="0"/>
          <w:strike w:val="0"/>
          <w:color w:val="000000"/>
          <w:sz w:val="16"/>
          <w:szCs w:val="16"/>
          <w:u w:val="none"/>
          <w:shd w:fill="auto" w:val="clear"/>
          <w:vertAlign w:val="baseline"/>
        </w:rPr>
      </w:pPr>
      <w:hyperlink r:id="rId11">
        <w:r w:rsidDel="00000000" w:rsidR="00000000" w:rsidRPr="00000000">
          <w:rPr>
            <w:rFonts w:ascii="Calibri" w:cs="Calibri" w:eastAsia="Calibri" w:hAnsi="Calibri"/>
            <w:b w:val="0"/>
            <w:i w:val="0"/>
            <w:smallCaps w:val="0"/>
            <w:strike w:val="0"/>
            <w:color w:val="1154cc"/>
            <w:sz w:val="16"/>
            <w:szCs w:val="16"/>
            <w:u w:val="single"/>
            <w:shd w:fill="auto" w:val="clear"/>
            <w:vertAlign w:val="baseline"/>
            <w:rtl w:val="0"/>
          </w:rPr>
          <w:t xml:space="preserve">https://www.ishares.com/ch/institutional/en/products/307243/i</w:t>
        </w:r>
      </w:hyperlink>
      <w:r w:rsidDel="00000000" w:rsidR="00000000" w:rsidRPr="00000000">
        <w:rPr>
          <w:rFonts w:ascii="Calibri" w:cs="Calibri" w:eastAsia="Calibri" w:hAnsi="Calibri"/>
          <w:b w:val="0"/>
          <w:i w:val="0"/>
          <w:smallCaps w:val="0"/>
          <w:strike w:val="0"/>
          <w:color w:val="1154cc"/>
          <w:sz w:val="16"/>
          <w:szCs w:val="16"/>
          <w:u w:val="none"/>
          <w:shd w:fill="auto" w:val="clear"/>
          <w:vertAlign w:val="baseline"/>
          <w:rtl w:val="0"/>
        </w:rPr>
        <w:t xml:space="preserve"> </w:t>
      </w:r>
      <w:hyperlink r:id="rId12">
        <w:r w:rsidDel="00000000" w:rsidR="00000000" w:rsidRPr="00000000">
          <w:rPr>
            <w:rFonts w:ascii="Calibri" w:cs="Calibri" w:eastAsia="Calibri" w:hAnsi="Calibri"/>
            <w:b w:val="0"/>
            <w:i w:val="0"/>
            <w:smallCaps w:val="0"/>
            <w:strike w:val="0"/>
            <w:color w:val="1154cc"/>
            <w:sz w:val="16"/>
            <w:szCs w:val="16"/>
            <w:u w:val="single"/>
            <w:shd w:fill="auto" w:val="clear"/>
            <w:vertAlign w:val="baseline"/>
            <w:rtl w:val="0"/>
          </w:rPr>
          <w:t xml:space="preserve">shares-treasury-bond-0-1yr-ucits-etf</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783"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696969"/>
          <w:sz w:val="16"/>
          <w:szCs w:val="16"/>
          <w:u w:val="none"/>
          <w:shd w:fill="auto" w:val="clear"/>
          <w:vertAlign w:val="baseline"/>
          <w:rtl w:val="0"/>
        </w:rPr>
        <w:t xml:space="preserve">Recomendación: </w:t>
      </w: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Este Fondo puede no ser adecuado para inversiones en las que se prevea retirar el dinero en un plazo menor a cuatro (4) años.</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2">
      <w:pPr>
        <w:pStyle w:val="Heading1"/>
        <w:ind w:firstLine="115"/>
        <w:rPr>
          <w:u w:val="none"/>
        </w:rPr>
      </w:pPr>
      <w:r w:rsidDel="00000000" w:rsidR="00000000" w:rsidRPr="00000000">
        <w:rPr>
          <w:color w:val="696969"/>
          <w:u w:val="single"/>
          <w:rtl w:val="0"/>
        </w:rPr>
        <w:t xml:space="preserve">Procedimiento de suscripción y rescate:</w:t>
      </w: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699"/>
          <w:tab w:val="left" w:leader="none" w:pos="700"/>
        </w:tabs>
        <w:spacing w:after="0" w:before="194" w:line="240" w:lineRule="auto"/>
        <w:ind w:left="700" w:right="974"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696969"/>
          <w:sz w:val="16"/>
          <w:szCs w:val="16"/>
          <w:u w:val="none"/>
          <w:shd w:fill="auto" w:val="clear"/>
          <w:vertAlign w:val="baseline"/>
          <w:rtl w:val="0"/>
        </w:rPr>
        <w:t xml:space="preserve">Valor Inicial de las cuotas de colocación: </w:t>
      </w: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USD 10.00 Dólares americanos.</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699"/>
          <w:tab w:val="left" w:leader="none" w:pos="700"/>
        </w:tabs>
        <w:spacing w:after="0" w:before="0" w:line="240" w:lineRule="auto"/>
        <w:ind w:left="700"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696969"/>
          <w:sz w:val="16"/>
          <w:szCs w:val="16"/>
          <w:u w:val="none"/>
          <w:shd w:fill="auto" w:val="clear"/>
          <w:vertAlign w:val="baseline"/>
          <w:rtl w:val="0"/>
        </w:rPr>
        <w:t xml:space="preserve">Suscripción Mínima: </w:t>
      </w: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USD 10</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27">
      <w:pPr>
        <w:pStyle w:val="Heading2"/>
        <w:numPr>
          <w:ilvl w:val="1"/>
          <w:numId w:val="2"/>
        </w:numPr>
        <w:tabs>
          <w:tab w:val="left" w:leader="none" w:pos="699"/>
          <w:tab w:val="left" w:leader="none" w:pos="700"/>
        </w:tabs>
        <w:ind w:left="700" w:hanging="360"/>
        <w:rPr>
          <w:b w:val="0"/>
        </w:rPr>
      </w:pPr>
      <w:r w:rsidDel="00000000" w:rsidR="00000000" w:rsidRPr="00000000">
        <w:rPr>
          <w:color w:val="696969"/>
          <w:rtl w:val="0"/>
        </w:rPr>
        <w:t xml:space="preserve">Monto Mínimo de Suscripción Adicional: </w:t>
      </w:r>
      <w:r w:rsidDel="00000000" w:rsidR="00000000" w:rsidRPr="00000000">
        <w:rPr>
          <w:b w:val="0"/>
          <w:color w:val="696969"/>
          <w:rtl w:val="0"/>
        </w:rPr>
        <w:t xml:space="preserve">USD 10</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699"/>
          <w:tab w:val="left" w:leader="none" w:pos="700"/>
        </w:tabs>
        <w:spacing w:after="0" w:before="0" w:line="240" w:lineRule="auto"/>
        <w:ind w:left="700"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696969"/>
          <w:sz w:val="16"/>
          <w:szCs w:val="16"/>
          <w:u w:val="none"/>
          <w:shd w:fill="auto" w:val="clear"/>
          <w:vertAlign w:val="baseline"/>
          <w:rtl w:val="0"/>
        </w:rPr>
        <w:t xml:space="preserve">Monto Mínimo de Permanencia: </w:t>
      </w: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USD 10</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699"/>
          <w:tab w:val="left" w:leader="none" w:pos="700"/>
        </w:tabs>
        <w:spacing w:after="0" w:before="1" w:line="240" w:lineRule="auto"/>
        <w:ind w:left="700"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696969"/>
          <w:sz w:val="16"/>
          <w:szCs w:val="16"/>
          <w:u w:val="none"/>
          <w:shd w:fill="auto" w:val="clear"/>
          <w:vertAlign w:val="baseline"/>
          <w:rtl w:val="0"/>
        </w:rPr>
        <w:t xml:space="preserve">Monto Mínimo de Rescate: </w:t>
      </w: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USD 10</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699"/>
          <w:tab w:val="left" w:leader="none" w:pos="700"/>
        </w:tabs>
        <w:spacing w:after="0" w:before="0" w:line="240" w:lineRule="auto"/>
        <w:ind w:left="700"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696969"/>
          <w:sz w:val="16"/>
          <w:szCs w:val="16"/>
          <w:u w:val="none"/>
          <w:shd w:fill="auto" w:val="clear"/>
          <w:vertAlign w:val="baseline"/>
          <w:rtl w:val="0"/>
        </w:rPr>
        <w:t xml:space="preserve">Plazo mínimo de permanencia: </w:t>
      </w: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No aplica</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15" w:right="821" w:firstLine="0"/>
        <w:jc w:val="both"/>
        <w:rPr>
          <w:rFonts w:ascii="Calibri" w:cs="Calibri" w:eastAsia="Calibri" w:hAnsi="Calibri"/>
          <w:b w:val="0"/>
          <w:i w:val="0"/>
          <w:smallCaps w:val="0"/>
          <w:strike w:val="0"/>
          <w:color w:val="000000"/>
          <w:sz w:val="16"/>
          <w:szCs w:val="16"/>
          <w:u w:val="none"/>
          <w:shd w:fill="auto" w:val="clear"/>
          <w:vertAlign w:val="baseline"/>
        </w:rPr>
        <w:sectPr>
          <w:type w:val="continuous"/>
          <w:pgSz w:h="16840" w:w="11920" w:orient="portrait"/>
          <w:pgMar w:bottom="280" w:top="1220" w:left="800" w:right="0" w:header="720" w:footer="720"/>
          <w:cols w:equalWidth="0" w:num="2">
            <w:col w:space="85" w:w="5517.5"/>
            <w:col w:space="0" w:w="5517.5"/>
          </w:cols>
        </w:sectPr>
      </w:pPr>
      <w:r w:rsidDel="00000000" w:rsidR="00000000" w:rsidRPr="00000000">
        <w:rPr>
          <w:rFonts w:ascii="Calibri" w:cs="Calibri" w:eastAsia="Calibri" w:hAnsi="Calibri"/>
          <w:b w:val="1"/>
          <w:i w:val="0"/>
          <w:smallCaps w:val="0"/>
          <w:strike w:val="0"/>
          <w:color w:val="696969"/>
          <w:sz w:val="16"/>
          <w:szCs w:val="16"/>
          <w:u w:val="none"/>
          <w:shd w:fill="auto" w:val="clear"/>
          <w:vertAlign w:val="baseline"/>
          <w:rtl w:val="0"/>
        </w:rPr>
        <w:t xml:space="preserve">Hora de Corte: </w:t>
      </w: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La hora de corte para las suscripciones y las solicitudes de rescate de un día es las 14:00 hora local de Perú. La vigencia del valor cuota será de 24 horas.</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15" w:right="38"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696969"/>
          <w:sz w:val="16"/>
          <w:szCs w:val="16"/>
          <w:u w:val="none"/>
          <w:shd w:fill="auto" w:val="clear"/>
          <w:vertAlign w:val="baseline"/>
          <w:rtl w:val="0"/>
        </w:rPr>
        <w:t xml:space="preserve">Asignación del Valor Cuota: </w:t>
      </w: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Los aportes por suscripción y las solicitudes de rescate que se produzcan hasta antes de la hora de corte de cada día se asignarán al valor cuota del día útil siguiente. El valor cuota de cada día incorpora el efecto de la valorización del portafolio a ese día. Para mejor entendimiento de lo aquí indicado, se incluye el siguiente cuadro:</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4"/>
          <w:szCs w:val="4"/>
          <w:u w:val="none"/>
          <w:shd w:fill="auto" w:val="clear"/>
          <w:vertAlign w:val="baseline"/>
        </w:rPr>
      </w:pPr>
      <w:r w:rsidDel="00000000" w:rsidR="00000000" w:rsidRPr="00000000">
        <w:rPr>
          <w:rtl w:val="0"/>
        </w:rPr>
      </w:r>
    </w:p>
    <w:tbl>
      <w:tblPr>
        <w:tblStyle w:val="Table1"/>
        <w:tblW w:w="4900.0" w:type="dxa"/>
        <w:jc w:val="left"/>
        <w:tblInd w:w="130.0" w:type="dxa"/>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000"/>
      </w:tblPr>
      <w:tblGrid>
        <w:gridCol w:w="2460"/>
        <w:gridCol w:w="2440"/>
        <w:tblGridChange w:id="0">
          <w:tblGrid>
            <w:gridCol w:w="2460"/>
            <w:gridCol w:w="2440"/>
          </w:tblGrid>
        </w:tblGridChange>
      </w:tblGrid>
      <w:tr>
        <w:trPr>
          <w:cantSplit w:val="0"/>
          <w:trHeight w:val="915" w:hRule="atLeast"/>
          <w:tblHeader w:val="0"/>
        </w:trPr>
        <w:tc>
          <w:tcPr>
            <w:tcBorders>
              <w:top w:color="000000" w:space="0" w:sz="0" w:val="nil"/>
              <w:left w:color="000000" w:space="0" w:sz="0" w:val="nil"/>
              <w:bottom w:color="000000" w:space="0" w:sz="0" w:val="nil"/>
            </w:tcBorders>
            <w:shd w:fill="696969" w:val="clea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 w:line="240" w:lineRule="auto"/>
              <w:ind w:left="164" w:right="119"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Día en el que se realiza el aporte o de la solicitud de rescate</w:t>
            </w:r>
            <w:r w:rsidDel="00000000" w:rsidR="00000000" w:rsidRPr="00000000">
              <w:rPr>
                <w:rtl w:val="0"/>
              </w:rPr>
            </w:r>
          </w:p>
        </w:tc>
        <w:tc>
          <w:tcPr>
            <w:tcBorders>
              <w:top w:color="000000" w:space="0" w:sz="0" w:val="nil"/>
              <w:bottom w:color="000000" w:space="0" w:sz="0" w:val="nil"/>
              <w:right w:color="000000" w:space="0" w:sz="0" w:val="nil"/>
            </w:tcBorders>
            <w:shd w:fill="696969" w:val="clea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4" w:right="0" w:hanging="435"/>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Día de asignación de valor cuota</w:t>
            </w:r>
            <w:r w:rsidDel="00000000" w:rsidR="00000000" w:rsidRPr="00000000">
              <w:rPr>
                <w:rtl w:val="0"/>
              </w:rPr>
            </w:r>
          </w:p>
        </w:tc>
      </w:tr>
      <w:tr>
        <w:trPr>
          <w:cantSplit w:val="0"/>
          <w:trHeight w:val="255" w:hRule="atLeast"/>
          <w:tblHeader w:val="0"/>
        </w:trPr>
        <w:tc>
          <w:tcPr>
            <w:tcBorders>
              <w:top w:color="000000" w:space="0" w:sz="0" w:val="nil"/>
              <w:left w:color="696969" w:space="0" w:sz="12" w:val="single"/>
              <w:bottom w:color="696969" w:space="0" w:sz="12" w:val="single"/>
              <w:right w:color="696969" w:space="0" w:sz="12" w:val="single"/>
            </w:tcBorders>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161" w:lineRule="auto"/>
              <w:ind w:left="833" w:right="788"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Lunes</w:t>
            </w:r>
            <w:r w:rsidDel="00000000" w:rsidR="00000000" w:rsidRPr="00000000">
              <w:rPr>
                <w:rtl w:val="0"/>
              </w:rPr>
            </w:r>
          </w:p>
        </w:tc>
        <w:tc>
          <w:tcPr>
            <w:tcBorders>
              <w:top w:color="000000" w:space="0" w:sz="0" w:val="nil"/>
              <w:left w:color="696969" w:space="0" w:sz="12" w:val="single"/>
              <w:bottom w:color="696969" w:space="0" w:sz="12" w:val="single"/>
              <w:right w:color="696969" w:space="0" w:sz="12" w:val="single"/>
            </w:tcBorders>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161" w:lineRule="auto"/>
              <w:ind w:left="818" w:right="783"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Martes</w:t>
            </w:r>
            <w:r w:rsidDel="00000000" w:rsidR="00000000" w:rsidRPr="00000000">
              <w:rPr>
                <w:rtl w:val="0"/>
              </w:rPr>
            </w:r>
          </w:p>
        </w:tc>
      </w:tr>
      <w:tr>
        <w:trPr>
          <w:cantSplit w:val="0"/>
          <w:trHeight w:val="249" w:hRule="atLeast"/>
          <w:tblHeader w:val="0"/>
        </w:trPr>
        <w:tc>
          <w:tcPr>
            <w:tcBorders>
              <w:top w:color="696969" w:space="0" w:sz="12" w:val="single"/>
              <w:left w:color="696969" w:space="0" w:sz="12" w:val="single"/>
              <w:bottom w:color="696969" w:space="0" w:sz="12" w:val="single"/>
              <w:right w:color="696969" w:space="0" w:sz="12" w:val="single"/>
            </w:tcBorders>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164" w:lineRule="auto"/>
              <w:ind w:left="833" w:right="788"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Martes</w:t>
            </w:r>
            <w:r w:rsidDel="00000000" w:rsidR="00000000" w:rsidRPr="00000000">
              <w:rPr>
                <w:rtl w:val="0"/>
              </w:rPr>
            </w:r>
          </w:p>
        </w:tc>
        <w:tc>
          <w:tcPr>
            <w:tcBorders>
              <w:top w:color="696969" w:space="0" w:sz="12" w:val="single"/>
              <w:left w:color="696969" w:space="0" w:sz="12" w:val="single"/>
              <w:bottom w:color="696969" w:space="0" w:sz="12" w:val="single"/>
              <w:right w:color="696969" w:space="0" w:sz="12" w:val="single"/>
            </w:tcBorders>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164" w:lineRule="auto"/>
              <w:ind w:left="818" w:right="783"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Miércoles</w:t>
            </w:r>
            <w:r w:rsidDel="00000000" w:rsidR="00000000" w:rsidRPr="00000000">
              <w:rPr>
                <w:rtl w:val="0"/>
              </w:rPr>
            </w:r>
          </w:p>
        </w:tc>
      </w:tr>
      <w:tr>
        <w:trPr>
          <w:cantSplit w:val="0"/>
          <w:trHeight w:val="249" w:hRule="atLeast"/>
          <w:tblHeader w:val="0"/>
        </w:trPr>
        <w:tc>
          <w:tcPr>
            <w:tcBorders>
              <w:top w:color="696969" w:space="0" w:sz="12" w:val="single"/>
              <w:left w:color="696969" w:space="0" w:sz="12" w:val="single"/>
              <w:bottom w:color="696969" w:space="0" w:sz="12" w:val="single"/>
              <w:right w:color="696969" w:space="0" w:sz="12" w:val="single"/>
            </w:tcBorders>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167" w:lineRule="auto"/>
              <w:ind w:left="833" w:right="788"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Miércoles</w:t>
            </w:r>
            <w:r w:rsidDel="00000000" w:rsidR="00000000" w:rsidRPr="00000000">
              <w:rPr>
                <w:rtl w:val="0"/>
              </w:rPr>
            </w:r>
          </w:p>
        </w:tc>
        <w:tc>
          <w:tcPr>
            <w:tcBorders>
              <w:top w:color="696969" w:space="0" w:sz="12" w:val="single"/>
              <w:left w:color="696969" w:space="0" w:sz="12" w:val="single"/>
              <w:bottom w:color="696969" w:space="0" w:sz="12" w:val="single"/>
              <w:right w:color="696969" w:space="0" w:sz="12" w:val="single"/>
            </w:tcBorders>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167" w:lineRule="auto"/>
              <w:ind w:left="818" w:right="783"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Jueves</w:t>
            </w:r>
            <w:r w:rsidDel="00000000" w:rsidR="00000000" w:rsidRPr="00000000">
              <w:rPr>
                <w:rtl w:val="0"/>
              </w:rPr>
            </w:r>
          </w:p>
        </w:tc>
      </w:tr>
      <w:tr>
        <w:trPr>
          <w:cantSplit w:val="0"/>
          <w:trHeight w:val="229" w:hRule="atLeast"/>
          <w:tblHeader w:val="0"/>
        </w:trPr>
        <w:tc>
          <w:tcPr>
            <w:tcBorders>
              <w:top w:color="696969" w:space="0" w:sz="12" w:val="single"/>
              <w:left w:color="696969" w:space="0" w:sz="12" w:val="single"/>
              <w:bottom w:color="696969" w:space="0" w:sz="12" w:val="single"/>
              <w:right w:color="696969" w:space="0" w:sz="12" w:val="single"/>
            </w:tcBorders>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150" w:lineRule="auto"/>
              <w:ind w:left="833" w:right="788"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Jueves</w:t>
            </w:r>
            <w:r w:rsidDel="00000000" w:rsidR="00000000" w:rsidRPr="00000000">
              <w:rPr>
                <w:rtl w:val="0"/>
              </w:rPr>
            </w:r>
          </w:p>
        </w:tc>
        <w:tc>
          <w:tcPr>
            <w:tcBorders>
              <w:top w:color="696969" w:space="0" w:sz="12" w:val="single"/>
              <w:left w:color="696969" w:space="0" w:sz="12" w:val="single"/>
              <w:bottom w:color="696969" w:space="0" w:sz="12" w:val="single"/>
              <w:right w:color="696969" w:space="0" w:sz="12" w:val="single"/>
            </w:tcBorders>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150" w:lineRule="auto"/>
              <w:ind w:left="818" w:right="783"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Viernes</w:t>
            </w:r>
            <w:r w:rsidDel="00000000" w:rsidR="00000000" w:rsidRPr="00000000">
              <w:rPr>
                <w:rtl w:val="0"/>
              </w:rPr>
            </w:r>
          </w:p>
        </w:tc>
      </w:tr>
      <w:tr>
        <w:trPr>
          <w:cantSplit w:val="0"/>
          <w:trHeight w:val="250" w:hRule="atLeast"/>
          <w:tblHeader w:val="0"/>
        </w:trPr>
        <w:tc>
          <w:tcPr>
            <w:tcBorders>
              <w:top w:color="696969" w:space="0" w:sz="12" w:val="single"/>
              <w:left w:color="696969" w:space="0" w:sz="12" w:val="single"/>
              <w:bottom w:color="696969" w:space="0" w:sz="12" w:val="single"/>
              <w:right w:color="696969" w:space="0" w:sz="12" w:val="single"/>
            </w:tcBorders>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153" w:lineRule="auto"/>
              <w:ind w:left="833" w:right="788"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Viernes</w:t>
            </w:r>
            <w:r w:rsidDel="00000000" w:rsidR="00000000" w:rsidRPr="00000000">
              <w:rPr>
                <w:rtl w:val="0"/>
              </w:rPr>
            </w:r>
          </w:p>
        </w:tc>
        <w:tc>
          <w:tcPr>
            <w:tcBorders>
              <w:top w:color="696969" w:space="0" w:sz="12" w:val="single"/>
              <w:left w:color="696969" w:space="0" w:sz="12" w:val="single"/>
              <w:bottom w:color="696969" w:space="0" w:sz="12" w:val="single"/>
              <w:right w:color="696969" w:space="0" w:sz="12" w:val="single"/>
            </w:tcBorders>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153" w:lineRule="auto"/>
              <w:ind w:left="818" w:right="783"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Lunes</w:t>
            </w:r>
            <w:r w:rsidDel="00000000" w:rsidR="00000000" w:rsidRPr="00000000">
              <w:rPr>
                <w:rtl w:val="0"/>
              </w:rPr>
            </w:r>
          </w:p>
        </w:tc>
      </w:tr>
    </w:tbl>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 w:line="256" w:lineRule="auto"/>
        <w:ind w:left="115" w:right="115"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696969"/>
          <w:sz w:val="16"/>
          <w:szCs w:val="16"/>
          <w:u w:val="none"/>
          <w:shd w:fill="auto" w:val="clear"/>
          <w:vertAlign w:val="baseline"/>
          <w:rtl w:val="0"/>
        </w:rPr>
        <w:t xml:space="preserve">Medios y Horario de Atención: </w:t>
      </w: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Las solicitudes  de  suscripción, rescate, transferencia y traspaso se podrán presentar en las oﬁcinas de la Administradora de lunes a viernes, entre las 9:00 a.m. y las 5 p.m. Alternativamente, los partícipes que sean personas  naturales,  podrán  presentar sus solicitudes de suscripción, rescate, transferencia y traspaso a través de la página web </w:t>
      </w:r>
      <w:hyperlink r:id="rId13">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www.miblum.com</w:t>
        </w:r>
      </w:hyperlink>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 y su aplicativo móvil, durante las 24 horas de lunes a domingo.</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15" w:right="119"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Las solicitudes realizadas a través de medios electrónicos o telemáticos los días sábados, domingos, feriados, y aquellas formuladas fuera del horario de atención, serán atendidas el día útil siguiente, registrándose en esta fecha la solicitud y se les asignará el valor cuota del día útil siguiente de acuerdo a lo dispuesto en la presente sección.</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10" w:right="776"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br w:type="column"/>
      </w: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El valor de los instrumentos u operaciones ﬁnancieras que componen la cartera del FONDO está expuesto a las ﬂuctuaciones de las condiciones del mercado y otros riesgos inherentes a las inversiones que pueden ocasionar que dicho valor disminuya y ello genere pérdidas a los partícipes del FONDO. Por lo tanto, el partícipe debe ser consciente de que el valor de la cuota del FONDO puede ﬂuctuar tanto al alza como a la baja.</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pStyle w:val="Heading1"/>
        <w:spacing w:before="137" w:lineRule="auto"/>
        <w:ind w:left="110" w:firstLine="0"/>
        <w:rPr>
          <w:u w:val="none"/>
        </w:rPr>
      </w:pPr>
      <w:r w:rsidDel="00000000" w:rsidR="00000000" w:rsidRPr="00000000">
        <w:rPr>
          <w:color w:val="696969"/>
          <w:u w:val="single"/>
          <w:rtl w:val="0"/>
        </w:rPr>
        <w:t xml:space="preserve">Comisiones y gastos del fondo</w:t>
      </w:r>
      <w:r w:rsidDel="00000000" w:rsidR="00000000" w:rsidRPr="00000000">
        <w:rPr>
          <w:rtl w:val="0"/>
        </w:rPr>
      </w:r>
    </w:p>
    <w:p w:rsidR="00000000" w:rsidDel="00000000" w:rsidP="00000000" w:rsidRDefault="00000000" w:rsidRPr="00000000" w14:paraId="00000048">
      <w:pPr>
        <w:pStyle w:val="Heading2"/>
        <w:spacing w:before="120" w:lineRule="auto"/>
        <w:ind w:left="110" w:firstLine="0"/>
        <w:rPr/>
      </w:pPr>
      <w:r w:rsidDel="00000000" w:rsidR="00000000" w:rsidRPr="00000000">
        <w:rPr>
          <w:color w:val="696969"/>
          <w:rtl w:val="0"/>
        </w:rPr>
        <w:t xml:space="preserve">Gastos a Cargo del Inversionista:</w:t>
      </w:r>
      <w:r w:rsidDel="00000000" w:rsidR="00000000" w:rsidRPr="00000000">
        <w:rPr>
          <w:rtl w:val="0"/>
        </w:rPr>
      </w:r>
    </w:p>
    <w:tbl>
      <w:tblPr>
        <w:tblStyle w:val="Table2"/>
        <w:tblW w:w="4820.0" w:type="dxa"/>
        <w:jc w:val="left"/>
        <w:tblInd w:w="16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2680"/>
        <w:gridCol w:w="2140"/>
        <w:tblGridChange w:id="0">
          <w:tblGrid>
            <w:gridCol w:w="2680"/>
            <w:gridCol w:w="2140"/>
          </w:tblGrid>
        </w:tblGridChange>
      </w:tblGrid>
      <w:tr>
        <w:trPr>
          <w:cantSplit w:val="0"/>
          <w:trHeight w:val="209" w:hRule="atLeast"/>
          <w:tblHeader w:val="0"/>
        </w:trPr>
        <w:tc>
          <w:tcPr>
            <w:shd w:fill="a6a6a6" w:val="clea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5" w:right="0" w:firstLine="0"/>
              <w:jc w:val="left"/>
              <w:rPr>
                <w:rFonts w:ascii="Calibri" w:cs="Calibri" w:eastAsia="Calibri" w:hAnsi="Calibri"/>
                <w:b w:val="0"/>
                <w:i w:val="0"/>
                <w:smallCaps w:val="0"/>
                <w:strike w:val="0"/>
                <w:color w:val="000000"/>
                <w:sz w:val="9"/>
                <w:szCs w:val="9"/>
                <w:u w:val="none"/>
                <w:shd w:fill="auto" w:val="clear"/>
                <w:vertAlign w:val="baseline"/>
              </w:rPr>
            </w:pPr>
            <w:r w:rsidDel="00000000" w:rsidR="00000000" w:rsidRPr="00000000">
              <w:rPr>
                <w:rFonts w:ascii="Calibri" w:cs="Calibri" w:eastAsia="Calibri" w:hAnsi="Calibri"/>
                <w:b w:val="0"/>
                <w:i w:val="0"/>
                <w:smallCaps w:val="0"/>
                <w:strike w:val="0"/>
                <w:color w:val="ffffff"/>
                <w:sz w:val="16"/>
                <w:szCs w:val="16"/>
                <w:u w:val="none"/>
                <w:shd w:fill="auto" w:val="clear"/>
                <w:vertAlign w:val="baseline"/>
                <w:rtl w:val="0"/>
              </w:rPr>
              <w:t xml:space="preserve">Comisión de Suscripción</w:t>
            </w:r>
            <w:r w:rsidDel="00000000" w:rsidR="00000000" w:rsidRPr="00000000">
              <w:rPr>
                <w:rFonts w:ascii="Calibri" w:cs="Calibri" w:eastAsia="Calibri" w:hAnsi="Calibri"/>
                <w:b w:val="0"/>
                <w:i w:val="0"/>
                <w:smallCaps w:val="0"/>
                <w:strike w:val="0"/>
                <w:color w:val="ffffff"/>
                <w:sz w:val="15"/>
                <w:szCs w:val="15"/>
                <w:u w:val="none"/>
                <w:shd w:fill="auto" w:val="clear"/>
                <w:vertAlign w:val="superscript"/>
                <w:rtl w:val="0"/>
              </w:rPr>
              <w:t xml:space="preserve">1</w:t>
            </w:r>
            <w:r w:rsidDel="00000000" w:rsidR="00000000" w:rsidRPr="00000000">
              <w:rPr>
                <w:rtl w:val="0"/>
              </w:rPr>
            </w:r>
          </w:p>
        </w:tc>
        <w:tc>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0" w:right="921"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0%</w:t>
            </w:r>
            <w:r w:rsidDel="00000000" w:rsidR="00000000" w:rsidRPr="00000000">
              <w:rPr>
                <w:rtl w:val="0"/>
              </w:rPr>
            </w:r>
          </w:p>
        </w:tc>
      </w:tr>
      <w:tr>
        <w:trPr>
          <w:cantSplit w:val="0"/>
          <w:trHeight w:val="210" w:hRule="atLeast"/>
          <w:tblHeader w:val="0"/>
        </w:trPr>
        <w:tc>
          <w:tcPr>
            <w:shd w:fill="a6a6a6" w:val="clea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5"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ffffff"/>
                <w:sz w:val="16"/>
                <w:szCs w:val="16"/>
                <w:u w:val="none"/>
                <w:shd w:fill="auto" w:val="clear"/>
                <w:vertAlign w:val="baseline"/>
                <w:rtl w:val="0"/>
              </w:rPr>
              <w:t xml:space="preserve">Comisión de Rescate</w:t>
            </w:r>
            <w:r w:rsidDel="00000000" w:rsidR="00000000" w:rsidRPr="00000000">
              <w:rPr>
                <w:rtl w:val="0"/>
              </w:rPr>
            </w:r>
          </w:p>
        </w:tc>
        <w:tc>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0" w:right="921"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0%</w:t>
            </w:r>
            <w:r w:rsidDel="00000000" w:rsidR="00000000" w:rsidRPr="00000000">
              <w:rPr>
                <w:rtl w:val="0"/>
              </w:rPr>
            </w:r>
          </w:p>
        </w:tc>
      </w:tr>
      <w:tr>
        <w:trPr>
          <w:cantSplit w:val="0"/>
          <w:trHeight w:val="210" w:hRule="atLeast"/>
          <w:tblHeader w:val="0"/>
        </w:trPr>
        <w:tc>
          <w:tcPr>
            <w:shd w:fill="a6a6a6" w:val="clea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5"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ffffff"/>
                <w:sz w:val="16"/>
                <w:szCs w:val="16"/>
                <w:u w:val="none"/>
                <w:shd w:fill="auto" w:val="clear"/>
                <w:vertAlign w:val="baseline"/>
                <w:rtl w:val="0"/>
              </w:rPr>
              <w:t xml:space="preserve">Comisión de Transferencia</w:t>
            </w:r>
            <w:r w:rsidDel="00000000" w:rsidR="00000000" w:rsidRPr="00000000">
              <w:rPr>
                <w:rtl w:val="0"/>
              </w:rPr>
            </w:r>
          </w:p>
        </w:tc>
        <w:tc>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5" w:lineRule="auto"/>
              <w:ind w:left="0" w:right="921"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0%</w:t>
            </w:r>
            <w:r w:rsidDel="00000000" w:rsidR="00000000" w:rsidRPr="00000000">
              <w:rPr>
                <w:rtl w:val="0"/>
              </w:rPr>
            </w:r>
          </w:p>
        </w:tc>
      </w:tr>
      <w:tr>
        <w:trPr>
          <w:cantSplit w:val="0"/>
          <w:trHeight w:val="210" w:hRule="atLeast"/>
          <w:tblHeader w:val="0"/>
        </w:trPr>
        <w:tc>
          <w:tcPr>
            <w:shd w:fill="a6a6a6" w:val="clea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7" w:lineRule="auto"/>
              <w:ind w:left="5"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ffffff"/>
                <w:sz w:val="16"/>
                <w:szCs w:val="16"/>
                <w:u w:val="none"/>
                <w:shd w:fill="auto" w:val="clear"/>
                <w:vertAlign w:val="baseline"/>
                <w:rtl w:val="0"/>
              </w:rPr>
              <w:t xml:space="preserve">Comisión de Traspaso</w:t>
            </w:r>
            <w:r w:rsidDel="00000000" w:rsidR="00000000" w:rsidRPr="00000000">
              <w:rPr>
                <w:rtl w:val="0"/>
              </w:rPr>
            </w:r>
          </w:p>
        </w:tc>
        <w:tc>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7" w:lineRule="auto"/>
              <w:ind w:left="0" w:right="921"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0%</w:t>
            </w:r>
            <w:r w:rsidDel="00000000" w:rsidR="00000000" w:rsidRPr="00000000">
              <w:rPr>
                <w:rtl w:val="0"/>
              </w:rPr>
            </w:r>
          </w:p>
        </w:tc>
      </w:tr>
    </w:tbl>
    <w:p w:rsidR="00000000" w:rsidDel="00000000" w:rsidP="00000000" w:rsidRDefault="00000000" w:rsidRPr="00000000" w14:paraId="00000051">
      <w:pPr>
        <w:spacing w:before="114" w:lineRule="auto"/>
        <w:ind w:left="155" w:firstLine="0"/>
        <w:rPr>
          <w:b w:val="1"/>
          <w:sz w:val="16"/>
          <w:szCs w:val="16"/>
        </w:rPr>
      </w:pPr>
      <w:r w:rsidDel="00000000" w:rsidR="00000000" w:rsidRPr="00000000">
        <w:rPr>
          <w:b w:val="1"/>
          <w:color w:val="696969"/>
          <w:sz w:val="16"/>
          <w:szCs w:val="16"/>
          <w:rtl w:val="0"/>
        </w:rPr>
        <w:t xml:space="preserve">Gastos a Cargo del Fondo:</w:t>
      </w:r>
      <w:r w:rsidDel="00000000" w:rsidR="00000000" w:rsidRPr="00000000">
        <w:rPr>
          <w:rtl w:val="0"/>
        </w:rPr>
      </w:r>
    </w:p>
    <w:tbl>
      <w:tblPr>
        <w:tblStyle w:val="Table3"/>
        <w:tblW w:w="4820.0" w:type="dxa"/>
        <w:jc w:val="left"/>
        <w:tblInd w:w="16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2680"/>
        <w:gridCol w:w="2140"/>
        <w:tblGridChange w:id="0">
          <w:tblGrid>
            <w:gridCol w:w="2680"/>
            <w:gridCol w:w="2140"/>
          </w:tblGrid>
        </w:tblGridChange>
      </w:tblGrid>
      <w:tr>
        <w:trPr>
          <w:cantSplit w:val="0"/>
          <w:trHeight w:val="449" w:hRule="atLeast"/>
          <w:tblHeader w:val="0"/>
        </w:trPr>
        <w:tc>
          <w:tcPr>
            <w:shd w:fill="a6a6a6" w:val="clea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5" w:lineRule="auto"/>
              <w:ind w:left="5" w:right="0" w:firstLine="0"/>
              <w:jc w:val="left"/>
              <w:rPr>
                <w:rFonts w:ascii="Calibri" w:cs="Calibri" w:eastAsia="Calibri" w:hAnsi="Calibri"/>
                <w:b w:val="0"/>
                <w:i w:val="0"/>
                <w:smallCaps w:val="0"/>
                <w:strike w:val="0"/>
                <w:color w:val="000000"/>
                <w:sz w:val="9"/>
                <w:szCs w:val="9"/>
                <w:u w:val="none"/>
                <w:shd w:fill="auto" w:val="clear"/>
                <w:vertAlign w:val="baseline"/>
              </w:rPr>
            </w:pPr>
            <w:r w:rsidDel="00000000" w:rsidR="00000000" w:rsidRPr="00000000">
              <w:rPr>
                <w:rFonts w:ascii="Calibri" w:cs="Calibri" w:eastAsia="Calibri" w:hAnsi="Calibri"/>
                <w:b w:val="0"/>
                <w:i w:val="0"/>
                <w:smallCaps w:val="0"/>
                <w:strike w:val="0"/>
                <w:color w:val="ffffff"/>
                <w:sz w:val="16"/>
                <w:szCs w:val="16"/>
                <w:u w:val="none"/>
                <w:shd w:fill="auto" w:val="clear"/>
                <w:vertAlign w:val="baseline"/>
                <w:rtl w:val="0"/>
              </w:rPr>
              <w:t xml:space="preserve">Comisión uniﬁcada del Fondo</w:t>
            </w:r>
            <w:r w:rsidDel="00000000" w:rsidR="00000000" w:rsidRPr="00000000">
              <w:rPr>
                <w:rFonts w:ascii="Calibri" w:cs="Calibri" w:eastAsia="Calibri" w:hAnsi="Calibri"/>
                <w:b w:val="0"/>
                <w:i w:val="0"/>
                <w:smallCaps w:val="0"/>
                <w:strike w:val="0"/>
                <w:color w:val="ffffff"/>
                <w:sz w:val="15"/>
                <w:szCs w:val="15"/>
                <w:u w:val="none"/>
                <w:shd w:fill="auto" w:val="clear"/>
                <w:vertAlign w:val="superscript"/>
                <w:rtl w:val="0"/>
              </w:rPr>
              <w:t xml:space="preserve">2</w:t>
            </w:r>
            <w:r w:rsidDel="00000000" w:rsidR="00000000" w:rsidRPr="00000000">
              <w:rPr>
                <w:rtl w:val="0"/>
              </w:rPr>
            </w:r>
          </w:p>
        </w:tc>
        <w:tc>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632"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0,8%+IGV</w:t>
            </w:r>
            <w:r w:rsidDel="00000000" w:rsidR="00000000" w:rsidRPr="00000000">
              <w:rPr>
                <w:rtl w:val="0"/>
              </w:rPr>
            </w:r>
          </w:p>
        </w:tc>
      </w:tr>
      <w:tr>
        <w:trPr>
          <w:cantSplit w:val="0"/>
          <w:trHeight w:val="670" w:hRule="atLeast"/>
          <w:tblHeader w:val="0"/>
        </w:trPr>
        <w:tc>
          <w:tcPr>
            <w:shd w:fill="a6a6a6" w:val="clea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3" w:lineRule="auto"/>
              <w:ind w:left="5"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ffffff"/>
                <w:sz w:val="16"/>
                <w:szCs w:val="16"/>
                <w:u w:val="none"/>
                <w:shd w:fill="auto" w:val="clear"/>
                <w:vertAlign w:val="baseline"/>
                <w:rtl w:val="0"/>
              </w:rPr>
              <w:t xml:space="preserve">Comisiones propias de</w:t>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3" w:lineRule="auto"/>
              <w:ind w:left="5" w:right="0" w:firstLine="0"/>
              <w:jc w:val="left"/>
              <w:rPr>
                <w:rFonts w:ascii="Calibri" w:cs="Calibri" w:eastAsia="Calibri" w:hAnsi="Calibri"/>
                <w:b w:val="0"/>
                <w:i w:val="0"/>
                <w:smallCaps w:val="0"/>
                <w:strike w:val="0"/>
                <w:color w:val="000000"/>
                <w:sz w:val="9"/>
                <w:szCs w:val="9"/>
                <w:u w:val="none"/>
                <w:shd w:fill="auto" w:val="clear"/>
                <w:vertAlign w:val="baseline"/>
              </w:rPr>
            </w:pPr>
            <w:r w:rsidDel="00000000" w:rsidR="00000000" w:rsidRPr="00000000">
              <w:rPr>
                <w:rFonts w:ascii="Calibri" w:cs="Calibri" w:eastAsia="Calibri" w:hAnsi="Calibri"/>
                <w:b w:val="0"/>
                <w:i w:val="0"/>
                <w:smallCaps w:val="0"/>
                <w:strike w:val="0"/>
                <w:color w:val="ffffff"/>
                <w:sz w:val="16"/>
                <w:szCs w:val="16"/>
                <w:u w:val="none"/>
                <w:shd w:fill="auto" w:val="clear"/>
                <w:vertAlign w:val="baseline"/>
                <w:rtl w:val="0"/>
              </w:rPr>
              <w:t xml:space="preserve">las operaciones de inversión</w:t>
            </w:r>
            <w:r w:rsidDel="00000000" w:rsidR="00000000" w:rsidRPr="00000000">
              <w:rPr>
                <w:rFonts w:ascii="Calibri" w:cs="Calibri" w:eastAsia="Calibri" w:hAnsi="Calibri"/>
                <w:b w:val="0"/>
                <w:i w:val="0"/>
                <w:smallCaps w:val="0"/>
                <w:strike w:val="0"/>
                <w:color w:val="ffffff"/>
                <w:sz w:val="15"/>
                <w:szCs w:val="15"/>
                <w:u w:val="none"/>
                <w:shd w:fill="auto" w:val="clear"/>
                <w:vertAlign w:val="superscript"/>
                <w:rtl w:val="0"/>
              </w:rPr>
              <w:t xml:space="preserve">3</w:t>
            </w:r>
            <w:r w:rsidDel="00000000" w:rsidR="00000000" w:rsidRPr="00000000">
              <w:rPr>
                <w:rtl w:val="0"/>
              </w:rPr>
            </w:r>
          </w:p>
        </w:tc>
        <w:tc>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00000000000003" w:lineRule="auto"/>
              <w:ind w:left="672" w:right="647"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Hasta 4%</w:t>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3" w:lineRule="auto"/>
              <w:ind w:left="672" w:right="647"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 IGV</w:t>
            </w:r>
            <w:r w:rsidDel="00000000" w:rsidR="00000000" w:rsidRPr="00000000">
              <w:rPr>
                <w:rtl w:val="0"/>
              </w:rPr>
            </w:r>
          </w:p>
        </w:tc>
      </w:tr>
    </w:tbl>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9">
      <w:pPr>
        <w:ind w:left="125" w:firstLine="0"/>
        <w:rPr>
          <w:b w:val="1"/>
          <w:i w:val="1"/>
          <w:sz w:val="18"/>
          <w:szCs w:val="18"/>
        </w:rPr>
      </w:pPr>
      <w:r w:rsidDel="00000000" w:rsidR="00000000" w:rsidRPr="00000000">
        <w:rPr>
          <w:b w:val="1"/>
          <w:i w:val="1"/>
          <w:color w:val="696969"/>
          <w:sz w:val="18"/>
          <w:szCs w:val="18"/>
          <w:u w:val="single"/>
          <w:rtl w:val="0"/>
        </w:rPr>
        <w:t xml:space="preserve">Información Adicional</w:t>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B">
      <w:pPr>
        <w:ind w:left="110" w:firstLine="0"/>
        <w:rPr>
          <w:sz w:val="16"/>
          <w:szCs w:val="16"/>
        </w:rPr>
      </w:pPr>
      <w:r w:rsidDel="00000000" w:rsidR="00000000" w:rsidRPr="00000000">
        <w:rPr>
          <w:b w:val="1"/>
          <w:color w:val="696969"/>
          <w:sz w:val="16"/>
          <w:szCs w:val="16"/>
          <w:rtl w:val="0"/>
        </w:rPr>
        <w:t xml:space="preserve">Custodio: </w:t>
      </w:r>
      <w:r w:rsidDel="00000000" w:rsidR="00000000" w:rsidRPr="00000000">
        <w:rPr>
          <w:color w:val="696969"/>
          <w:sz w:val="16"/>
          <w:szCs w:val="16"/>
          <w:rtl w:val="0"/>
        </w:rPr>
        <w:t xml:space="preserve">Banco de Crédito del Perú</w:t>
      </w:r>
      <w:r w:rsidDel="00000000" w:rsidR="00000000" w:rsidRPr="00000000">
        <w:rPr>
          <w:rtl w:val="0"/>
        </w:rPr>
      </w:r>
    </w:p>
    <w:p w:rsidR="00000000" w:rsidDel="00000000" w:rsidP="00000000" w:rsidRDefault="00000000" w:rsidRPr="00000000" w14:paraId="0000005C">
      <w:pPr>
        <w:spacing w:before="97" w:lineRule="auto"/>
        <w:ind w:left="110" w:right="1169" w:firstLine="0"/>
        <w:rPr>
          <w:sz w:val="16"/>
          <w:szCs w:val="16"/>
        </w:rPr>
      </w:pPr>
      <w:r w:rsidDel="00000000" w:rsidR="00000000" w:rsidRPr="00000000">
        <w:rPr>
          <w:b w:val="1"/>
          <w:color w:val="696969"/>
          <w:sz w:val="16"/>
          <w:szCs w:val="16"/>
          <w:rtl w:val="0"/>
        </w:rPr>
        <w:t xml:space="preserve">Agentes Colocadores: </w:t>
      </w:r>
      <w:r w:rsidDel="00000000" w:rsidR="00000000" w:rsidRPr="00000000">
        <w:rPr>
          <w:color w:val="696969"/>
          <w:sz w:val="16"/>
          <w:szCs w:val="16"/>
          <w:rtl w:val="0"/>
        </w:rPr>
        <w:t xml:space="preserve">Blum Sociedad Administradora de Fondos S.A.</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E">
      <w:pPr>
        <w:pStyle w:val="Heading1"/>
        <w:ind w:left="125" w:firstLine="0"/>
        <w:rPr>
          <w:u w:val="none"/>
        </w:rPr>
      </w:pPr>
      <w:r w:rsidDel="00000000" w:rsidR="00000000" w:rsidRPr="00000000">
        <w:rPr>
          <w:color w:val="696969"/>
          <w:u w:val="single"/>
          <w:rtl w:val="0"/>
        </w:rPr>
        <w:t xml:space="preserve">Otros aspectos particulares al fondo mutuo</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25" w:right="774"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Los partícipes recibirán en el Estado de Cuenta del mes en el que inició la etapa operativa una comunicación donde se indique la fecha de inicio de la etapa operativa del FONDO.</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181" w:lineRule="auto"/>
        <w:ind w:left="125" w:right="0" w:firstLine="0"/>
        <w:jc w:val="left"/>
        <w:rPr>
          <w:rFonts w:ascii="Calibri" w:cs="Calibri" w:eastAsia="Calibri" w:hAnsi="Calibri"/>
          <w:b w:val="0"/>
          <w:i w:val="0"/>
          <w:smallCaps w:val="0"/>
          <w:strike w:val="0"/>
          <w:color w:val="000000"/>
          <w:sz w:val="16"/>
          <w:szCs w:val="16"/>
          <w:u w:val="none"/>
          <w:shd w:fill="auto" w:val="clear"/>
          <w:vertAlign w:val="baseline"/>
        </w:rPr>
        <w:sectPr>
          <w:type w:val="nextPage"/>
          <w:pgSz w:h="16840" w:w="11920" w:orient="portrait"/>
          <w:pgMar w:bottom="280" w:top="1220" w:left="800" w:right="0" w:header="513" w:footer="0"/>
          <w:cols w:equalWidth="0" w:num="2">
            <w:col w:space="120" w:w="5500"/>
            <w:col w:space="0" w:w="5500"/>
          </w:cols>
        </w:sectPr>
      </w:pP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La información contenida en este Prospecto Simpliﬁcado</w:t>
      </w:r>
      <w:r w:rsidDel="00000000" w:rsidR="00000000" w:rsidRPr="00000000">
        <w:rPr>
          <w:rtl w:val="0"/>
        </w:rPr>
      </w:r>
    </w:p>
    <w:p w:rsidR="00000000" w:rsidDel="00000000" w:rsidP="00000000" w:rsidRDefault="00000000" w:rsidRPr="00000000" w14:paraId="00000061">
      <w:pPr>
        <w:spacing w:before="2" w:line="256" w:lineRule="auto"/>
        <w:ind w:left="115" w:right="174" w:firstLine="0"/>
        <w:jc w:val="both"/>
        <w:rPr>
          <w:sz w:val="16"/>
          <w:szCs w:val="16"/>
        </w:rPr>
      </w:pPr>
      <w:r w:rsidDel="00000000" w:rsidR="00000000" w:rsidRPr="00000000">
        <w:rPr>
          <w:b w:val="1"/>
          <w:color w:val="696969"/>
          <w:sz w:val="16"/>
          <w:szCs w:val="16"/>
          <w:rtl w:val="0"/>
        </w:rPr>
        <w:t xml:space="preserve">Plazo para el  pago  de  rescates: </w:t>
      </w:r>
      <w:r w:rsidDel="00000000" w:rsidR="00000000" w:rsidRPr="00000000">
        <w:rPr>
          <w:color w:val="696969"/>
          <w:sz w:val="16"/>
          <w:szCs w:val="16"/>
          <w:rtl w:val="0"/>
        </w:rPr>
        <w:t xml:space="preserve">El pago se efectuará hasta  el segundo día útil (T+2), luego de asignado el valor cuota.</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4"/>
          <w:szCs w:val="4"/>
          <w:u w:val="none"/>
          <w:shd w:fill="auto" w:val="clear"/>
          <w:vertAlign w:val="baseline"/>
        </w:rPr>
      </w:pPr>
      <w:r w:rsidDel="00000000" w:rsidR="00000000" w:rsidRPr="00000000">
        <w:rPr>
          <w:rtl w:val="0"/>
        </w:rPr>
      </w:r>
    </w:p>
    <w:tbl>
      <w:tblPr>
        <w:tblStyle w:val="Table4"/>
        <w:tblW w:w="4900.0" w:type="dxa"/>
        <w:jc w:val="left"/>
        <w:tblInd w:w="150.0" w:type="dxa"/>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000"/>
      </w:tblPr>
      <w:tblGrid>
        <w:gridCol w:w="1640"/>
        <w:gridCol w:w="1620"/>
        <w:gridCol w:w="1640"/>
        <w:tblGridChange w:id="0">
          <w:tblGrid>
            <w:gridCol w:w="1640"/>
            <w:gridCol w:w="1620"/>
            <w:gridCol w:w="1640"/>
          </w:tblGrid>
        </w:tblGridChange>
      </w:tblGrid>
      <w:tr>
        <w:trPr>
          <w:cantSplit w:val="0"/>
          <w:trHeight w:val="900" w:hRule="atLeast"/>
          <w:tblHeader w:val="0"/>
        </w:trPr>
        <w:tc>
          <w:tcPr>
            <w:tcBorders>
              <w:top w:color="000000" w:space="0" w:sz="0" w:val="nil"/>
              <w:left w:color="000000" w:space="0" w:sz="0" w:val="nil"/>
              <w:bottom w:color="000000" w:space="0" w:sz="0" w:val="nil"/>
            </w:tcBorders>
            <w:shd w:fill="696969" w:val="clea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240" w:lineRule="auto"/>
              <w:ind w:left="105" w:right="283"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Día en el que se solicita el rescate</w:t>
            </w:r>
            <w:r w:rsidDel="00000000" w:rsidR="00000000" w:rsidRPr="00000000">
              <w:rPr>
                <w:rtl w:val="0"/>
              </w:rPr>
            </w:r>
          </w:p>
        </w:tc>
        <w:tc>
          <w:tcPr>
            <w:tcBorders>
              <w:top w:color="000000" w:space="0" w:sz="0" w:val="nil"/>
              <w:bottom w:color="000000" w:space="0" w:sz="0" w:val="nil"/>
            </w:tcBorders>
            <w:shd w:fill="696969" w:val="clea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240" w:lineRule="auto"/>
              <w:ind w:left="68" w:right="95" w:firstLine="37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Día de asignación de valor cuota (T)</w:t>
            </w:r>
            <w:r w:rsidDel="00000000" w:rsidR="00000000" w:rsidRPr="00000000">
              <w:rPr>
                <w:rtl w:val="0"/>
              </w:rPr>
            </w:r>
          </w:p>
        </w:tc>
        <w:tc>
          <w:tcPr>
            <w:tcBorders>
              <w:top w:color="000000" w:space="0" w:sz="0" w:val="nil"/>
              <w:bottom w:color="000000" w:space="0" w:sz="0" w:val="nil"/>
              <w:right w:color="000000" w:space="0" w:sz="0" w:val="nil"/>
            </w:tcBorders>
            <w:shd w:fill="696969" w:val="clea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 w:right="0" w:hanging="15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Día del pago del rescate (T+2)</w:t>
            </w:r>
            <w:r w:rsidDel="00000000" w:rsidR="00000000" w:rsidRPr="00000000">
              <w:rPr>
                <w:rtl w:val="0"/>
              </w:rPr>
            </w:r>
          </w:p>
        </w:tc>
      </w:tr>
      <w:tr>
        <w:trPr>
          <w:cantSplit w:val="0"/>
          <w:trHeight w:val="246" w:hRule="atLeast"/>
          <w:tblHeader w:val="0"/>
        </w:trPr>
        <w:tc>
          <w:tcPr>
            <w:tcBorders>
              <w:top w:color="000000" w:space="0" w:sz="0" w:val="nil"/>
              <w:left w:color="696969" w:space="0" w:sz="12" w:val="single"/>
              <w:bottom w:color="696969" w:space="0" w:sz="12" w:val="single"/>
              <w:right w:color="696969" w:space="0" w:sz="12" w:val="single"/>
            </w:tcBorders>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152" w:lineRule="auto"/>
              <w:ind w:left="413" w:right="383"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Lunes</w:t>
            </w:r>
            <w:r w:rsidDel="00000000" w:rsidR="00000000" w:rsidRPr="00000000">
              <w:rPr>
                <w:rtl w:val="0"/>
              </w:rPr>
            </w:r>
          </w:p>
        </w:tc>
        <w:tc>
          <w:tcPr>
            <w:tcBorders>
              <w:top w:color="000000" w:space="0" w:sz="0" w:val="nil"/>
              <w:left w:color="696969" w:space="0" w:sz="12" w:val="single"/>
              <w:bottom w:color="696969" w:space="0" w:sz="12" w:val="single"/>
              <w:right w:color="696969" w:space="0" w:sz="12" w:val="single"/>
            </w:tcBorders>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152" w:lineRule="auto"/>
              <w:ind w:left="403" w:right="378"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Martes</w:t>
            </w:r>
            <w:r w:rsidDel="00000000" w:rsidR="00000000" w:rsidRPr="00000000">
              <w:rPr>
                <w:rtl w:val="0"/>
              </w:rPr>
            </w:r>
          </w:p>
        </w:tc>
        <w:tc>
          <w:tcPr>
            <w:tcBorders>
              <w:top w:color="000000" w:space="0" w:sz="0" w:val="nil"/>
              <w:left w:color="696969" w:space="0" w:sz="12" w:val="single"/>
              <w:bottom w:color="696969" w:space="0" w:sz="12" w:val="single"/>
              <w:right w:color="696969" w:space="0" w:sz="12" w:val="single"/>
            </w:tcBorders>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152" w:lineRule="auto"/>
              <w:ind w:left="416" w:right="381"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Jueves</w:t>
            </w:r>
            <w:r w:rsidDel="00000000" w:rsidR="00000000" w:rsidRPr="00000000">
              <w:rPr>
                <w:rtl w:val="0"/>
              </w:rPr>
            </w:r>
          </w:p>
        </w:tc>
      </w:tr>
      <w:tr>
        <w:trPr>
          <w:cantSplit w:val="0"/>
          <w:trHeight w:val="249" w:hRule="atLeast"/>
          <w:tblHeader w:val="0"/>
        </w:trPr>
        <w:tc>
          <w:tcPr>
            <w:tcBorders>
              <w:top w:color="696969" w:space="0" w:sz="12" w:val="single"/>
              <w:left w:color="696969" w:space="0" w:sz="12" w:val="single"/>
              <w:bottom w:color="696969" w:space="0" w:sz="12" w:val="single"/>
              <w:right w:color="696969" w:space="0" w:sz="12" w:val="single"/>
            </w:tcBorders>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155" w:lineRule="auto"/>
              <w:ind w:left="413" w:right="383"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Martes</w:t>
            </w:r>
            <w:r w:rsidDel="00000000" w:rsidR="00000000" w:rsidRPr="00000000">
              <w:rPr>
                <w:rtl w:val="0"/>
              </w:rPr>
            </w:r>
          </w:p>
        </w:tc>
        <w:tc>
          <w:tcPr>
            <w:tcBorders>
              <w:top w:color="696969" w:space="0" w:sz="12" w:val="single"/>
              <w:left w:color="696969" w:space="0" w:sz="12" w:val="single"/>
              <w:bottom w:color="696969" w:space="0" w:sz="12" w:val="single"/>
              <w:right w:color="696969" w:space="0" w:sz="12" w:val="single"/>
            </w:tcBorders>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155" w:lineRule="auto"/>
              <w:ind w:left="403" w:right="378"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Miércoles</w:t>
            </w:r>
            <w:r w:rsidDel="00000000" w:rsidR="00000000" w:rsidRPr="00000000">
              <w:rPr>
                <w:rtl w:val="0"/>
              </w:rPr>
            </w:r>
          </w:p>
        </w:tc>
        <w:tc>
          <w:tcPr>
            <w:tcBorders>
              <w:top w:color="696969" w:space="0" w:sz="12" w:val="single"/>
              <w:left w:color="696969" w:space="0" w:sz="12" w:val="single"/>
              <w:bottom w:color="696969" w:space="0" w:sz="12" w:val="single"/>
              <w:right w:color="696969" w:space="0" w:sz="12" w:val="single"/>
            </w:tcBorders>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155" w:lineRule="auto"/>
              <w:ind w:left="416" w:right="381"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Viernes</w:t>
            </w:r>
            <w:r w:rsidDel="00000000" w:rsidR="00000000" w:rsidRPr="00000000">
              <w:rPr>
                <w:rtl w:val="0"/>
              </w:rPr>
            </w:r>
          </w:p>
        </w:tc>
      </w:tr>
      <w:tr>
        <w:trPr>
          <w:cantSplit w:val="0"/>
          <w:trHeight w:val="249" w:hRule="atLeast"/>
          <w:tblHeader w:val="0"/>
        </w:trPr>
        <w:tc>
          <w:tcPr>
            <w:tcBorders>
              <w:top w:color="696969" w:space="0" w:sz="12" w:val="single"/>
              <w:left w:color="696969" w:space="0" w:sz="12" w:val="single"/>
              <w:bottom w:color="696969" w:space="0" w:sz="12" w:val="single"/>
              <w:right w:color="696969" w:space="0" w:sz="12" w:val="single"/>
            </w:tcBorders>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158" w:lineRule="auto"/>
              <w:ind w:left="413" w:right="383"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Miércoles</w:t>
            </w:r>
            <w:r w:rsidDel="00000000" w:rsidR="00000000" w:rsidRPr="00000000">
              <w:rPr>
                <w:rtl w:val="0"/>
              </w:rPr>
            </w:r>
          </w:p>
        </w:tc>
        <w:tc>
          <w:tcPr>
            <w:tcBorders>
              <w:top w:color="696969" w:space="0" w:sz="12" w:val="single"/>
              <w:left w:color="696969" w:space="0" w:sz="12" w:val="single"/>
              <w:bottom w:color="696969" w:space="0" w:sz="12" w:val="single"/>
              <w:right w:color="696969" w:space="0" w:sz="12" w:val="single"/>
            </w:tcBorders>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158" w:lineRule="auto"/>
              <w:ind w:left="403" w:right="378"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Jueves</w:t>
            </w:r>
            <w:r w:rsidDel="00000000" w:rsidR="00000000" w:rsidRPr="00000000">
              <w:rPr>
                <w:rtl w:val="0"/>
              </w:rPr>
            </w:r>
          </w:p>
        </w:tc>
        <w:tc>
          <w:tcPr>
            <w:tcBorders>
              <w:top w:color="696969" w:space="0" w:sz="12" w:val="single"/>
              <w:left w:color="696969" w:space="0" w:sz="12" w:val="single"/>
              <w:bottom w:color="696969" w:space="0" w:sz="12" w:val="single"/>
              <w:right w:color="696969" w:space="0" w:sz="12" w:val="single"/>
            </w:tcBorders>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158" w:lineRule="auto"/>
              <w:ind w:left="416" w:right="381"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Lunes</w:t>
            </w:r>
            <w:r w:rsidDel="00000000" w:rsidR="00000000" w:rsidRPr="00000000">
              <w:rPr>
                <w:rtl w:val="0"/>
              </w:rPr>
            </w:r>
          </w:p>
        </w:tc>
      </w:tr>
      <w:tr>
        <w:trPr>
          <w:cantSplit w:val="0"/>
          <w:trHeight w:val="250" w:hRule="atLeast"/>
          <w:tblHeader w:val="0"/>
        </w:trPr>
        <w:tc>
          <w:tcPr>
            <w:tcBorders>
              <w:top w:color="696969" w:space="0" w:sz="12" w:val="single"/>
              <w:left w:color="696969" w:space="0" w:sz="12" w:val="single"/>
              <w:bottom w:color="696969" w:space="0" w:sz="12" w:val="single"/>
              <w:right w:color="696969" w:space="0" w:sz="12" w:val="single"/>
            </w:tcBorders>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161" w:lineRule="auto"/>
              <w:ind w:left="413" w:right="383"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Jueves</w:t>
            </w:r>
            <w:r w:rsidDel="00000000" w:rsidR="00000000" w:rsidRPr="00000000">
              <w:rPr>
                <w:rtl w:val="0"/>
              </w:rPr>
            </w:r>
          </w:p>
        </w:tc>
        <w:tc>
          <w:tcPr>
            <w:tcBorders>
              <w:top w:color="696969" w:space="0" w:sz="12" w:val="single"/>
              <w:left w:color="696969" w:space="0" w:sz="12" w:val="single"/>
              <w:bottom w:color="696969" w:space="0" w:sz="12" w:val="single"/>
              <w:right w:color="696969" w:space="0" w:sz="12" w:val="single"/>
            </w:tcBorders>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161" w:lineRule="auto"/>
              <w:ind w:left="403" w:right="378"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Viernes</w:t>
            </w:r>
            <w:r w:rsidDel="00000000" w:rsidR="00000000" w:rsidRPr="00000000">
              <w:rPr>
                <w:rtl w:val="0"/>
              </w:rPr>
            </w:r>
          </w:p>
        </w:tc>
        <w:tc>
          <w:tcPr>
            <w:tcBorders>
              <w:top w:color="696969" w:space="0" w:sz="12" w:val="single"/>
              <w:left w:color="696969" w:space="0" w:sz="12" w:val="single"/>
              <w:bottom w:color="696969" w:space="0" w:sz="12" w:val="single"/>
              <w:right w:color="696969" w:space="0" w:sz="12" w:val="single"/>
            </w:tcBorders>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161" w:lineRule="auto"/>
              <w:ind w:left="416" w:right="381"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Martes</w:t>
            </w:r>
            <w:r w:rsidDel="00000000" w:rsidR="00000000" w:rsidRPr="00000000">
              <w:rPr>
                <w:rtl w:val="0"/>
              </w:rPr>
            </w:r>
          </w:p>
        </w:tc>
      </w:tr>
      <w:tr>
        <w:trPr>
          <w:cantSplit w:val="0"/>
          <w:trHeight w:val="250" w:hRule="atLeast"/>
          <w:tblHeader w:val="0"/>
        </w:trPr>
        <w:tc>
          <w:tcPr>
            <w:tcBorders>
              <w:top w:color="696969" w:space="0" w:sz="12" w:val="single"/>
              <w:left w:color="696969" w:space="0" w:sz="12" w:val="single"/>
              <w:bottom w:color="696969" w:space="0" w:sz="12" w:val="single"/>
              <w:right w:color="696969" w:space="0" w:sz="12" w:val="single"/>
            </w:tcBorders>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164" w:lineRule="auto"/>
              <w:ind w:left="413" w:right="383"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Viernes</w:t>
            </w:r>
            <w:r w:rsidDel="00000000" w:rsidR="00000000" w:rsidRPr="00000000">
              <w:rPr>
                <w:rtl w:val="0"/>
              </w:rPr>
            </w:r>
          </w:p>
        </w:tc>
        <w:tc>
          <w:tcPr>
            <w:tcBorders>
              <w:top w:color="696969" w:space="0" w:sz="12" w:val="single"/>
              <w:left w:color="696969" w:space="0" w:sz="12" w:val="single"/>
              <w:bottom w:color="696969" w:space="0" w:sz="12" w:val="single"/>
              <w:right w:color="696969" w:space="0" w:sz="12" w:val="single"/>
            </w:tcBorders>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164" w:lineRule="auto"/>
              <w:ind w:left="403" w:right="378"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Lunes</w:t>
            </w:r>
            <w:r w:rsidDel="00000000" w:rsidR="00000000" w:rsidRPr="00000000">
              <w:rPr>
                <w:rtl w:val="0"/>
              </w:rPr>
            </w:r>
          </w:p>
        </w:tc>
        <w:tc>
          <w:tcPr>
            <w:tcBorders>
              <w:top w:color="696969" w:space="0" w:sz="12" w:val="single"/>
              <w:left w:color="696969" w:space="0" w:sz="12" w:val="single"/>
              <w:bottom w:color="696969" w:space="0" w:sz="12" w:val="single"/>
              <w:right w:color="696969" w:space="0" w:sz="12" w:val="single"/>
            </w:tcBorders>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164" w:lineRule="auto"/>
              <w:ind w:left="416" w:right="381"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Miércoles</w:t>
            </w:r>
            <w:r w:rsidDel="00000000" w:rsidR="00000000" w:rsidRPr="00000000">
              <w:rPr>
                <w:rtl w:val="0"/>
              </w:rPr>
            </w:r>
          </w:p>
        </w:tc>
      </w:tr>
    </w:tbl>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15" w:right="166"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696969"/>
          <w:sz w:val="16"/>
          <w:szCs w:val="16"/>
          <w:u w:val="none"/>
          <w:shd w:fill="auto" w:val="clear"/>
          <w:vertAlign w:val="baseline"/>
          <w:rtl w:val="0"/>
        </w:rPr>
        <w:t xml:space="preserve">Rescates signiﬁcativos: </w:t>
      </w: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Para los casos de solicitudes de rescates individuales que superen el 3% del patrimonio neto del FONDO del día y/o el caso de rescates grupales que superen el 10% del patrimonio neto del FONDO del día, el plazo para el pago no excederá los (10) diez días hábiles de presentada la solicitud.</w:t>
      </w: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9">
      <w:pPr>
        <w:pStyle w:val="Heading1"/>
        <w:ind w:firstLine="115"/>
        <w:rPr>
          <w:u w:val="none"/>
        </w:rPr>
      </w:pPr>
      <w:r w:rsidDel="00000000" w:rsidR="00000000" w:rsidRPr="00000000">
        <w:rPr>
          <w:color w:val="696969"/>
          <w:u w:val="single"/>
          <w:rtl w:val="0"/>
        </w:rPr>
        <w:t xml:space="preserve">Perﬁl de Riesgo del Fondo</w:t>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15"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El FONDO está expuesto a los siguientes riesgos:</w:t>
      </w:r>
      <w:r w:rsidDel="00000000" w:rsidR="00000000" w:rsidRPr="00000000">
        <w:rPr>
          <w:rtl w:val="0"/>
        </w:rPr>
      </w:r>
    </w:p>
    <w:tbl>
      <w:tblPr>
        <w:tblStyle w:val="Table5"/>
        <w:tblW w:w="4820.0" w:type="dxa"/>
        <w:jc w:val="left"/>
        <w:tblInd w:w="13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700"/>
        <w:gridCol w:w="3120"/>
        <w:tblGridChange w:id="0">
          <w:tblGrid>
            <w:gridCol w:w="1700"/>
            <w:gridCol w:w="3120"/>
          </w:tblGrid>
        </w:tblGridChange>
      </w:tblGrid>
      <w:tr>
        <w:trPr>
          <w:cantSplit w:val="0"/>
          <w:trHeight w:val="655" w:hRule="atLeast"/>
          <w:tblHeader w:val="0"/>
        </w:trPr>
        <w:tc>
          <w:tcPr>
            <w:tcBorders>
              <w:bottom w:color="000000" w:space="0" w:sz="0" w:val="nil"/>
            </w:tcBorders>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119"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MS PGothic" w:cs="MS PGothic" w:eastAsia="MS PGothic" w:hAnsi="MS PGothic"/>
                <w:b w:val="0"/>
                <w:i w:val="0"/>
                <w:smallCaps w:val="0"/>
                <w:strike w:val="0"/>
                <w:color w:val="202020"/>
                <w:sz w:val="12"/>
                <w:szCs w:val="1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02020"/>
                <w:sz w:val="12"/>
                <w:szCs w:val="12"/>
                <w:u w:val="none"/>
                <w:shd w:fill="auto" w:val="clear"/>
                <w:vertAlign w:val="baseline"/>
                <w:rtl w:val="0"/>
              </w:rPr>
              <w:t xml:space="preserve">Tipo de cambio</w:t>
            </w: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19"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MS PGothic" w:cs="MS PGothic" w:eastAsia="MS PGothic" w:hAnsi="MS PGothic"/>
                <w:b w:val="0"/>
                <w:i w:val="0"/>
                <w:smallCaps w:val="0"/>
                <w:strike w:val="0"/>
                <w:color w:val="202020"/>
                <w:sz w:val="12"/>
                <w:szCs w:val="1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02020"/>
                <w:sz w:val="12"/>
                <w:szCs w:val="12"/>
                <w:u w:val="none"/>
                <w:shd w:fill="auto" w:val="clear"/>
                <w:vertAlign w:val="baseline"/>
                <w:rtl w:val="0"/>
              </w:rPr>
              <w:t xml:space="preserve">Sectorial</w:t>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19"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MS PGothic" w:cs="MS PGothic" w:eastAsia="MS PGothic" w:hAnsi="MS PGothic"/>
                <w:b w:val="0"/>
                <w:i w:val="0"/>
                <w:smallCaps w:val="0"/>
                <w:strike w:val="0"/>
                <w:color w:val="202020"/>
                <w:sz w:val="12"/>
                <w:szCs w:val="1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02020"/>
                <w:sz w:val="12"/>
                <w:szCs w:val="12"/>
                <w:u w:val="none"/>
                <w:shd w:fill="auto" w:val="clear"/>
                <w:vertAlign w:val="baseline"/>
                <w:rtl w:val="0"/>
              </w:rPr>
              <w:t xml:space="preserve">Tasa de interés</w:t>
            </w: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141" w:lineRule="auto"/>
              <w:ind w:left="119"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MS PGothic" w:cs="MS PGothic" w:eastAsia="MS PGothic" w:hAnsi="MS PGothic"/>
                <w:b w:val="0"/>
                <w:i w:val="0"/>
                <w:smallCaps w:val="0"/>
                <w:strike w:val="0"/>
                <w:color w:val="202020"/>
                <w:sz w:val="12"/>
                <w:szCs w:val="1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02020"/>
                <w:sz w:val="12"/>
                <w:szCs w:val="12"/>
                <w:u w:val="none"/>
                <w:shd w:fill="auto" w:val="clear"/>
                <w:vertAlign w:val="baseline"/>
                <w:rtl w:val="0"/>
              </w:rPr>
              <w:t xml:space="preserve">Liquidez</w:t>
            </w:r>
            <w:r w:rsidDel="00000000" w:rsidR="00000000" w:rsidRPr="00000000">
              <w:rPr>
                <w:rtl w:val="0"/>
              </w:rPr>
            </w:r>
          </w:p>
        </w:tc>
        <w:tc>
          <w:tcPr>
            <w:tcBorders>
              <w:bottom w:color="000000" w:space="0" w:sz="0" w:val="nil"/>
            </w:tcBorders>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3" w:lineRule="auto"/>
              <w:ind w:left="114"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MS PGothic" w:cs="MS PGothic" w:eastAsia="MS PGothic" w:hAnsi="MS PGothic"/>
                <w:b w:val="0"/>
                <w:i w:val="0"/>
                <w:smallCaps w:val="0"/>
                <w:strike w:val="0"/>
                <w:color w:val="202020"/>
                <w:sz w:val="12"/>
                <w:szCs w:val="1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02020"/>
                <w:sz w:val="12"/>
                <w:szCs w:val="12"/>
                <w:u w:val="none"/>
                <w:shd w:fill="auto" w:val="clear"/>
                <w:vertAlign w:val="baseline"/>
                <w:rtl w:val="0"/>
              </w:rPr>
              <w:t xml:space="preserve">Emisor</w:t>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14"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MS PGothic" w:cs="MS PGothic" w:eastAsia="MS PGothic" w:hAnsi="MS PGothic"/>
                <w:b w:val="0"/>
                <w:i w:val="0"/>
                <w:smallCaps w:val="0"/>
                <w:strike w:val="0"/>
                <w:color w:val="202020"/>
                <w:sz w:val="12"/>
                <w:szCs w:val="1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02020"/>
                <w:sz w:val="12"/>
                <w:szCs w:val="12"/>
                <w:u w:val="none"/>
                <w:shd w:fill="auto" w:val="clear"/>
                <w:vertAlign w:val="baseline"/>
                <w:rtl w:val="0"/>
              </w:rPr>
              <w:t xml:space="preserve">Reinversión</w:t>
            </w: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14"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MS PGothic" w:cs="MS PGothic" w:eastAsia="MS PGothic" w:hAnsi="MS PGothic"/>
                <w:b w:val="0"/>
                <w:i w:val="0"/>
                <w:smallCaps w:val="0"/>
                <w:strike w:val="0"/>
                <w:color w:val="202020"/>
                <w:sz w:val="12"/>
                <w:szCs w:val="1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02020"/>
                <w:sz w:val="12"/>
                <w:szCs w:val="12"/>
                <w:u w:val="none"/>
                <w:shd w:fill="auto" w:val="clear"/>
                <w:vertAlign w:val="baseline"/>
                <w:rtl w:val="0"/>
              </w:rPr>
              <w:t xml:space="preserve">Contraparte</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141" w:lineRule="auto"/>
              <w:ind w:left="114"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MS PGothic" w:cs="MS PGothic" w:eastAsia="MS PGothic" w:hAnsi="MS PGothic"/>
                <w:b w:val="0"/>
                <w:i w:val="0"/>
                <w:smallCaps w:val="0"/>
                <w:strike w:val="0"/>
                <w:color w:val="202020"/>
                <w:sz w:val="12"/>
                <w:szCs w:val="1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02020"/>
                <w:sz w:val="12"/>
                <w:szCs w:val="12"/>
                <w:u w:val="none"/>
                <w:shd w:fill="auto" w:val="clear"/>
                <w:vertAlign w:val="baseline"/>
                <w:rtl w:val="0"/>
              </w:rPr>
              <w:t xml:space="preserve">Tributario</w:t>
            </w:r>
            <w:r w:rsidDel="00000000" w:rsidR="00000000" w:rsidRPr="00000000">
              <w:rPr>
                <w:rtl w:val="0"/>
              </w:rPr>
            </w:r>
          </w:p>
        </w:tc>
      </w:tr>
      <w:tr>
        <w:trPr>
          <w:cantSplit w:val="0"/>
          <w:trHeight w:val="554" w:hRule="atLeast"/>
          <w:tblHeader w:val="0"/>
        </w:trPr>
        <w:tc>
          <w:tcPr>
            <w:tcBorders>
              <w:top w:color="000000" w:space="0" w:sz="0" w:val="nil"/>
            </w:tcBorders>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119"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MS PGothic" w:cs="MS PGothic" w:eastAsia="MS PGothic" w:hAnsi="MS PGothic"/>
                <w:b w:val="0"/>
                <w:i w:val="0"/>
                <w:smallCaps w:val="0"/>
                <w:strike w:val="0"/>
                <w:color w:val="202020"/>
                <w:sz w:val="12"/>
                <w:szCs w:val="1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02020"/>
                <w:sz w:val="12"/>
                <w:szCs w:val="12"/>
                <w:u w:val="none"/>
                <w:shd w:fill="auto" w:val="clear"/>
                <w:vertAlign w:val="baseline"/>
                <w:rtl w:val="0"/>
              </w:rPr>
              <w:t xml:space="preserve">País</w:t>
            </w: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19"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MS PGothic" w:cs="MS PGothic" w:eastAsia="MS PGothic" w:hAnsi="MS PGothic"/>
                <w:b w:val="0"/>
                <w:i w:val="0"/>
                <w:smallCaps w:val="0"/>
                <w:strike w:val="0"/>
                <w:color w:val="202020"/>
                <w:sz w:val="12"/>
                <w:szCs w:val="1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02020"/>
                <w:sz w:val="12"/>
                <w:szCs w:val="12"/>
                <w:u w:val="none"/>
                <w:shd w:fill="auto" w:val="clear"/>
                <w:vertAlign w:val="baseline"/>
                <w:rtl w:val="0"/>
              </w:rPr>
              <w:t xml:space="preserve">Mercado</w:t>
            </w:r>
            <w:r w:rsidDel="00000000" w:rsidR="00000000" w:rsidRPr="00000000">
              <w:rPr>
                <w:rtl w:val="0"/>
              </w:rPr>
            </w:r>
          </w:p>
        </w:tc>
        <w:tc>
          <w:tcPr>
            <w:tcBorders>
              <w:top w:color="000000" w:space="0" w:sz="0" w:val="nil"/>
            </w:tcBorders>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114" w:right="51"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MS PGothic" w:cs="MS PGothic" w:eastAsia="MS PGothic" w:hAnsi="MS PGothic"/>
                <w:b w:val="0"/>
                <w:i w:val="0"/>
                <w:smallCaps w:val="0"/>
                <w:strike w:val="0"/>
                <w:color w:val="202020"/>
                <w:sz w:val="12"/>
                <w:szCs w:val="1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02020"/>
                <w:sz w:val="12"/>
                <w:szCs w:val="12"/>
                <w:u w:val="none"/>
                <w:shd w:fill="auto" w:val="clear"/>
                <w:vertAlign w:val="baseline"/>
                <w:rtl w:val="0"/>
              </w:rPr>
              <w:t xml:space="preserve">Riesgo de excesos de inversión o inversiones no permitidas</w:t>
            </w:r>
            <w:r w:rsidDel="00000000" w:rsidR="00000000" w:rsidRPr="00000000">
              <w:rPr>
                <w:rtl w:val="0"/>
              </w:rPr>
            </w:r>
          </w:p>
        </w:tc>
      </w:tr>
    </w:tbl>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 w:line="297" w:lineRule="auto"/>
        <w:ind w:left="100" w:right="18"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Para mayor detalle de los riesgos, por favor consulte el Anexo del Reglamento de Participación correspondiente.</w:t>
      </w: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100" w:right="773"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br w:type="column"/>
      </w:r>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corresponde ser revisada para ser complementada con el Reglamento de Participación, el Anexo del Reglamento de Participación y los informes periódicos, los cuales pueden ser recabados gratuitamente en las oﬁcinas de Blum Sociedad Administradora de Fondos S.A., ubicadas en Av. Mariscal  La Mar N° 662, Oﬁcina 503, distrito de Miraﬂores, provincia y departamento de Lima, República del Perú y a través de la página web </w:t>
      </w:r>
      <w:hyperlink r:id="rId14">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www.miblum.com</w:t>
        </w:r>
      </w:hyperlink>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 Adicionalmente, el valor cuota del Fondo podrá ser consultado en la página web de la SMV: </w:t>
      </w:r>
      <w:hyperlink r:id="rId15">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www.smv.gob.pe</w:t>
        </w:r>
      </w:hyperlink>
      <w:r w:rsidDel="00000000" w:rsidR="00000000" w:rsidRPr="00000000">
        <w:rPr>
          <w:rFonts w:ascii="Calibri" w:cs="Calibri" w:eastAsia="Calibri" w:hAnsi="Calibri"/>
          <w:b w:val="0"/>
          <w:i w:val="0"/>
          <w:smallCaps w:val="0"/>
          <w:strike w:val="0"/>
          <w:color w:val="696969"/>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69"/>
          <w:tab w:val="left" w:leader="none" w:pos="970"/>
        </w:tabs>
        <w:spacing w:after="0" w:before="0" w:line="237" w:lineRule="auto"/>
        <w:ind w:left="250" w:right="902" w:firstLine="0"/>
        <w:jc w:val="both"/>
        <w:rPr>
          <w:rFonts w:ascii="Calibri" w:cs="Calibri" w:eastAsia="Calibri" w:hAnsi="Calibri"/>
          <w:b w:val="0"/>
          <w:i w:val="0"/>
          <w:smallCaps w:val="0"/>
          <w:strike w:val="0"/>
          <w:color w:val="696969"/>
          <w:sz w:val="12"/>
          <w:szCs w:val="12"/>
          <w:u w:val="none"/>
          <w:shd w:fill="auto" w:val="clear"/>
          <w:vertAlign w:val="baseline"/>
        </w:rPr>
      </w:pPr>
      <w:r w:rsidDel="00000000" w:rsidR="00000000" w:rsidRPr="00000000">
        <w:rPr>
          <w:rFonts w:ascii="Calibri" w:cs="Calibri" w:eastAsia="Calibri" w:hAnsi="Calibri"/>
          <w:b w:val="0"/>
          <w:i w:val="0"/>
          <w:smallCaps w:val="0"/>
          <w:strike w:val="0"/>
          <w:color w:val="696969"/>
          <w:sz w:val="12"/>
          <w:szCs w:val="12"/>
          <w:u w:val="none"/>
          <w:shd w:fill="auto" w:val="clear"/>
          <w:vertAlign w:val="baseline"/>
          <w:rtl w:val="0"/>
        </w:rPr>
        <w:t xml:space="preserve">La comisión podrá ser de 0 a 2% del aporte más el IGV e impuestos que pudieran ser aplicables.</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3441700</wp:posOffset>
                </wp:positionH>
                <wp:positionV relativeFrom="paragraph">
                  <wp:posOffset>-139699</wp:posOffset>
                </wp:positionV>
                <wp:extent cx="0" cy="12700"/>
                <wp:effectExtent b="0" l="0" r="0" t="0"/>
                <wp:wrapNone/>
                <wp:docPr id="5" name=""/>
                <a:graphic>
                  <a:graphicData uri="http://schemas.microsoft.com/office/word/2010/wordprocessingShape">
                    <wps:wsp>
                      <wps:cNvCnPr/>
                      <wps:spPr>
                        <a:xfrm>
                          <a:off x="3541013" y="3780000"/>
                          <a:ext cx="3609975" cy="0"/>
                        </a:xfrm>
                        <a:prstGeom prst="straightConnector1">
                          <a:avLst/>
                        </a:prstGeom>
                        <a:noFill/>
                        <a:ln cap="flat" cmpd="sng" w="9525">
                          <a:solidFill>
                            <a:srgbClr val="686868"/>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3441700</wp:posOffset>
                </wp:positionH>
                <wp:positionV relativeFrom="paragraph">
                  <wp:posOffset>-139699</wp:posOffset>
                </wp:positionV>
                <wp:extent cx="0" cy="12700"/>
                <wp:effectExtent b="0" l="0" r="0" t="0"/>
                <wp:wrapNone/>
                <wp:docPr id="5"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69"/>
          <w:tab w:val="left" w:leader="none" w:pos="970"/>
        </w:tabs>
        <w:spacing w:after="0" w:before="0" w:line="237" w:lineRule="auto"/>
        <w:ind w:left="250" w:right="831" w:firstLine="0"/>
        <w:jc w:val="both"/>
        <w:rPr>
          <w:rFonts w:ascii="Calibri" w:cs="Calibri" w:eastAsia="Calibri" w:hAnsi="Calibri"/>
          <w:b w:val="0"/>
          <w:i w:val="0"/>
          <w:smallCaps w:val="0"/>
          <w:strike w:val="0"/>
          <w:color w:val="696969"/>
          <w:sz w:val="12"/>
          <w:szCs w:val="12"/>
          <w:u w:val="none"/>
          <w:shd w:fill="auto" w:val="clear"/>
          <w:vertAlign w:val="baseline"/>
        </w:rPr>
      </w:pPr>
      <w:r w:rsidDel="00000000" w:rsidR="00000000" w:rsidRPr="00000000">
        <w:rPr>
          <w:rFonts w:ascii="Calibri" w:cs="Calibri" w:eastAsia="Calibri" w:hAnsi="Calibri"/>
          <w:b w:val="0"/>
          <w:i w:val="0"/>
          <w:smallCaps w:val="0"/>
          <w:strike w:val="0"/>
          <w:color w:val="696969"/>
          <w:sz w:val="12"/>
          <w:szCs w:val="12"/>
          <w:u w:val="none"/>
          <w:shd w:fill="auto" w:val="clear"/>
          <w:vertAlign w:val="baseline"/>
          <w:rtl w:val="0"/>
        </w:rPr>
        <w:t xml:space="preserve">Incluye la contribución del fondo mutuo a SMV por 0.0021% mensual, calculado en base al patrimonio del fondo, lo que equivale a 0.0252% anual aproximadamente.</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69"/>
          <w:tab w:val="left" w:leader="none" w:pos="970"/>
        </w:tabs>
        <w:spacing w:after="0" w:before="0" w:line="237" w:lineRule="auto"/>
        <w:ind w:left="250" w:right="908" w:firstLine="0"/>
        <w:jc w:val="both"/>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696969"/>
          <w:sz w:val="12"/>
          <w:szCs w:val="12"/>
          <w:u w:val="none"/>
          <w:shd w:fill="auto" w:val="clear"/>
          <w:vertAlign w:val="baseline"/>
          <w:rtl w:val="0"/>
        </w:rPr>
        <w:t xml:space="preserve">Incluye las comisiones de intermediación por transacciones bursátiles o extrabursátiles, mantenimiento de cuentas, comisiones por transferencias interbancarias y otras de similar naturaleza (CAVALI, BVL o de otras bolsas e instituciones de compensación y liquidación, así como los impuestos y tasas que sean aplicables). Asimismo, incluye las comisiones cobradas por otros fondos y ETFs en los que invierte el Fondo y cuyas comisiones de administración no sean mayores a (4%) del valor de patrimonio del respectivo fondo mutuo. En ningún caso la Administradora recibirá comisiones de los fondos de terceros por adquirir estas cuotas de participación.</w:t>
      </w:r>
      <w:r w:rsidDel="00000000" w:rsidR="00000000" w:rsidRPr="00000000">
        <w:rPr>
          <w:rtl w:val="0"/>
        </w:rPr>
      </w:r>
    </w:p>
    <w:sectPr>
      <w:type w:val="continuous"/>
      <w:pgSz w:h="16840" w:w="11920" w:orient="portrait"/>
      <w:pgMar w:bottom="280" w:top="1220" w:left="800" w:right="0" w:header="720" w:footer="720"/>
      <w:cols w:equalWidth="0" w:num="2">
        <w:col w:space="108" w:w="5506"/>
        <w:col w:space="0" w:w="5506"/>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MS PGothic"/>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drawing>
        <wp:anchor allowOverlap="1" behindDoc="1" distB="0" distT="0" distL="0" distR="0" hidden="0" layoutInCell="1" locked="0" relativeHeight="0" simplePos="0">
          <wp:simplePos x="0" y="0"/>
          <wp:positionH relativeFrom="page">
            <wp:posOffset>579602</wp:posOffset>
          </wp:positionH>
          <wp:positionV relativeFrom="page">
            <wp:posOffset>423344</wp:posOffset>
          </wp:positionV>
          <wp:extent cx="561975" cy="209550"/>
          <wp:effectExtent b="0" l="0" r="0" t="0"/>
          <wp:wrapNone/>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61975" cy="209550"/>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6547803</wp:posOffset>
              </wp:positionH>
              <wp:positionV relativeFrom="page">
                <wp:posOffset>308293</wp:posOffset>
              </wp:positionV>
              <wp:extent cx="547370" cy="190500"/>
              <wp:effectExtent b="0" l="0" r="0" t="0"/>
              <wp:wrapNone/>
              <wp:docPr id="6" name=""/>
              <a:graphic>
                <a:graphicData uri="http://schemas.microsoft.com/office/word/2010/wordprocessingShape">
                  <wps:wsp>
                    <wps:cNvSpPr/>
                    <wps:cNvPr id="3" name="Shape 3"/>
                    <wps:spPr>
                      <a:xfrm>
                        <a:off x="5077078" y="3689513"/>
                        <a:ext cx="537845" cy="180975"/>
                      </a:xfrm>
                      <a:prstGeom prst="rect">
                        <a:avLst/>
                      </a:prstGeom>
                      <a:noFill/>
                      <a:ln>
                        <a:noFill/>
                      </a:ln>
                    </wps:spPr>
                    <wps:txbx>
                      <w:txbxContent>
                        <w:p w:rsidR="00000000" w:rsidDel="00000000" w:rsidP="00000000" w:rsidRDefault="00000000" w:rsidRPr="00000000">
                          <w:pPr>
                            <w:spacing w:after="0" w:before="120" w:line="240"/>
                            <w:ind w:left="20" w:right="0" w:firstLine="20"/>
                            <w:jc w:val="left"/>
                            <w:textDirection w:val="btLr"/>
                          </w:pPr>
                          <w:r w:rsidDel="00000000" w:rsidR="00000000" w:rsidRPr="00000000">
                            <w:rPr>
                              <w:rFonts w:ascii="Calibri" w:cs="Calibri" w:eastAsia="Calibri" w:hAnsi="Calibri"/>
                              <w:b w:val="0"/>
                              <w:i w:val="0"/>
                              <w:smallCaps w:val="0"/>
                              <w:strike w:val="0"/>
                              <w:color w:val="696969"/>
                              <w:sz w:val="12"/>
                              <w:vertAlign w:val="baseline"/>
                            </w:rPr>
                            <w:t xml:space="preserve">Página  PAGE 1 de 2</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6547803</wp:posOffset>
              </wp:positionH>
              <wp:positionV relativeFrom="page">
                <wp:posOffset>308293</wp:posOffset>
              </wp:positionV>
              <wp:extent cx="547370" cy="190500"/>
              <wp:effectExtent b="0" l="0" r="0" t="0"/>
              <wp:wrapNone/>
              <wp:docPr id="6"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547370" cy="19050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50" w:hanging="720"/>
      </w:pPr>
      <w:rPr/>
    </w:lvl>
    <w:lvl w:ilvl="1">
      <w:start w:val="0"/>
      <w:numFmt w:val="bullet"/>
      <w:lvlText w:val="•"/>
      <w:lvlJc w:val="left"/>
      <w:pPr>
        <w:ind w:left="821" w:hanging="720"/>
      </w:pPr>
      <w:rPr/>
    </w:lvl>
    <w:lvl w:ilvl="2">
      <w:start w:val="0"/>
      <w:numFmt w:val="bullet"/>
      <w:lvlText w:val="•"/>
      <w:lvlJc w:val="left"/>
      <w:pPr>
        <w:ind w:left="1382" w:hanging="720.0000000000001"/>
      </w:pPr>
      <w:rPr/>
    </w:lvl>
    <w:lvl w:ilvl="3">
      <w:start w:val="0"/>
      <w:numFmt w:val="bullet"/>
      <w:lvlText w:val="•"/>
      <w:lvlJc w:val="left"/>
      <w:pPr>
        <w:ind w:left="1943" w:hanging="720"/>
      </w:pPr>
      <w:rPr/>
    </w:lvl>
    <w:lvl w:ilvl="4">
      <w:start w:val="0"/>
      <w:numFmt w:val="bullet"/>
      <w:lvlText w:val="•"/>
      <w:lvlJc w:val="left"/>
      <w:pPr>
        <w:ind w:left="2504" w:hanging="720"/>
      </w:pPr>
      <w:rPr/>
    </w:lvl>
    <w:lvl w:ilvl="5">
      <w:start w:val="0"/>
      <w:numFmt w:val="bullet"/>
      <w:lvlText w:val="•"/>
      <w:lvlJc w:val="left"/>
      <w:pPr>
        <w:ind w:left="3065" w:hanging="720"/>
      </w:pPr>
      <w:rPr/>
    </w:lvl>
    <w:lvl w:ilvl="6">
      <w:start w:val="0"/>
      <w:numFmt w:val="bullet"/>
      <w:lvlText w:val="•"/>
      <w:lvlJc w:val="left"/>
      <w:pPr>
        <w:ind w:left="3626" w:hanging="720"/>
      </w:pPr>
      <w:rPr/>
    </w:lvl>
    <w:lvl w:ilvl="7">
      <w:start w:val="0"/>
      <w:numFmt w:val="bullet"/>
      <w:lvlText w:val="•"/>
      <w:lvlJc w:val="left"/>
      <w:pPr>
        <w:ind w:left="4187" w:hanging="720"/>
      </w:pPr>
      <w:rPr/>
    </w:lvl>
    <w:lvl w:ilvl="8">
      <w:start w:val="0"/>
      <w:numFmt w:val="bullet"/>
      <w:lvlText w:val="•"/>
      <w:lvlJc w:val="left"/>
      <w:pPr>
        <w:ind w:left="4748" w:hanging="720"/>
      </w:pPr>
      <w:rPr/>
    </w:lvl>
  </w:abstractNum>
  <w:abstractNum w:abstractNumId="2">
    <w:lvl w:ilvl="0">
      <w:start w:val="0"/>
      <w:numFmt w:val="bullet"/>
      <w:lvlText w:val="•"/>
      <w:lvlJc w:val="left"/>
      <w:pPr>
        <w:ind w:left="115" w:hanging="135"/>
      </w:pPr>
      <w:rPr>
        <w:rFonts w:ascii="Calibri" w:cs="Calibri" w:eastAsia="Calibri" w:hAnsi="Calibri"/>
        <w:color w:val="696969"/>
        <w:sz w:val="16"/>
        <w:szCs w:val="16"/>
      </w:rPr>
    </w:lvl>
    <w:lvl w:ilvl="1">
      <w:start w:val="0"/>
      <w:numFmt w:val="bullet"/>
      <w:lvlText w:val="●"/>
      <w:lvlJc w:val="left"/>
      <w:pPr>
        <w:ind w:left="700" w:hanging="360"/>
      </w:pPr>
      <w:rPr>
        <w:rFonts w:ascii="Arial" w:cs="Arial" w:eastAsia="Arial" w:hAnsi="Arial"/>
        <w:color w:val="696969"/>
        <w:sz w:val="16"/>
        <w:szCs w:val="16"/>
      </w:rPr>
    </w:lvl>
    <w:lvl w:ilvl="2">
      <w:start w:val="0"/>
      <w:numFmt w:val="bullet"/>
      <w:lvlText w:val="•"/>
      <w:lvlJc w:val="left"/>
      <w:pPr>
        <w:ind w:left="1276" w:hanging="360"/>
      </w:pPr>
      <w:rPr/>
    </w:lvl>
    <w:lvl w:ilvl="3">
      <w:start w:val="0"/>
      <w:numFmt w:val="bullet"/>
      <w:lvlText w:val="•"/>
      <w:lvlJc w:val="left"/>
      <w:pPr>
        <w:ind w:left="1852" w:hanging="360"/>
      </w:pPr>
      <w:rPr/>
    </w:lvl>
    <w:lvl w:ilvl="4">
      <w:start w:val="0"/>
      <w:numFmt w:val="bullet"/>
      <w:lvlText w:val="•"/>
      <w:lvlJc w:val="left"/>
      <w:pPr>
        <w:ind w:left="2428" w:hanging="360"/>
      </w:pPr>
      <w:rPr/>
    </w:lvl>
    <w:lvl w:ilvl="5">
      <w:start w:val="0"/>
      <w:numFmt w:val="bullet"/>
      <w:lvlText w:val="•"/>
      <w:lvlJc w:val="left"/>
      <w:pPr>
        <w:ind w:left="3004" w:hanging="360"/>
      </w:pPr>
      <w:rPr/>
    </w:lvl>
    <w:lvl w:ilvl="6">
      <w:start w:val="0"/>
      <w:numFmt w:val="bullet"/>
      <w:lvlText w:val="•"/>
      <w:lvlJc w:val="left"/>
      <w:pPr>
        <w:ind w:left="3580" w:hanging="360"/>
      </w:pPr>
      <w:rPr/>
    </w:lvl>
    <w:lvl w:ilvl="7">
      <w:start w:val="0"/>
      <w:numFmt w:val="bullet"/>
      <w:lvlText w:val="•"/>
      <w:lvlJc w:val="left"/>
      <w:pPr>
        <w:ind w:left="4156" w:hanging="360"/>
      </w:pPr>
      <w:rPr/>
    </w:lvl>
    <w:lvl w:ilvl="8">
      <w:start w:val="0"/>
      <w:numFmt w:val="bullet"/>
      <w:lvlText w:val="•"/>
      <w:lvlJc w:val="left"/>
      <w:pPr>
        <w:ind w:left="4732"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15"/>
    </w:pPr>
    <w:rPr>
      <w:b w:val="1"/>
      <w:i w:val="1"/>
      <w:sz w:val="18"/>
      <w:szCs w:val="18"/>
      <w:u w:val="single"/>
    </w:rPr>
  </w:style>
  <w:style w:type="paragraph" w:styleId="Heading2">
    <w:name w:val="heading 2"/>
    <w:basedOn w:val="Normal"/>
    <w:next w:val="Normal"/>
    <w:pPr>
      <w:ind w:left="700" w:hanging="360"/>
    </w:pPr>
    <w:rPr>
      <w:b w:val="1"/>
      <w:sz w:val="16"/>
      <w:szCs w:val="1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Calibri" w:cs="Calibri" w:eastAsia="Calibri" w:hAnsi="Calibri"/>
    </w:rPr>
  </w:style>
  <w:style w:type="paragraph" w:styleId="Ttulo1">
    <w:name w:val="heading 1"/>
    <w:basedOn w:val="Normal"/>
    <w:uiPriority w:val="1"/>
    <w:qFormat w:val="1"/>
    <w:pPr>
      <w:ind w:left="115"/>
      <w:outlineLvl w:val="0"/>
    </w:pPr>
    <w:rPr>
      <w:b w:val="1"/>
      <w:bCs w:val="1"/>
      <w:i w:val="1"/>
      <w:sz w:val="18"/>
      <w:szCs w:val="18"/>
      <w:u w:color="000000" w:val="single"/>
    </w:rPr>
  </w:style>
  <w:style w:type="paragraph" w:styleId="Ttulo2">
    <w:name w:val="heading 2"/>
    <w:basedOn w:val="Normal"/>
    <w:uiPriority w:val="1"/>
    <w:qFormat w:val="1"/>
    <w:pPr>
      <w:ind w:left="700" w:hanging="360"/>
      <w:outlineLvl w:val="1"/>
    </w:pPr>
    <w:rPr>
      <w:b w:val="1"/>
      <w:bCs w:val="1"/>
      <w:sz w:val="16"/>
      <w:szCs w:val="1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Textoindependiente">
    <w:name w:val="Body Text"/>
    <w:basedOn w:val="Normal"/>
    <w:uiPriority w:val="1"/>
    <w:qFormat w:val="1"/>
    <w:rPr>
      <w:sz w:val="16"/>
      <w:szCs w:val="16"/>
    </w:rPr>
  </w:style>
  <w:style w:type="paragraph" w:styleId="Prrafodelista">
    <w:name w:val="List Paragraph"/>
    <w:basedOn w:val="Normal"/>
    <w:uiPriority w:val="1"/>
    <w:qFormat w:val="1"/>
    <w:pPr>
      <w:ind w:left="700" w:hanging="360"/>
    </w:pPr>
  </w:style>
  <w:style w:type="paragraph" w:styleId="TableParagraph" w:customStyle="1">
    <w:name w:val="Table Paragraph"/>
    <w:basedOn w:val="Normal"/>
    <w:uiPriority w:val="1"/>
    <w:qFormat w:val="1"/>
    <w:pPr>
      <w:ind w:left="5"/>
      <w:jc w:val="cente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ishares.com/ch/institutional/en/products/307243/ishares-treasury-bond-0-1yr-ucits-etf" TargetMode="External"/><Relationship Id="rId10" Type="http://schemas.openxmlformats.org/officeDocument/2006/relationships/hyperlink" Target="https://www.blackrock.com/americas-offshore/en/products/287339/ishares-us-aggregate-bond-ucits-etf%23/" TargetMode="External"/><Relationship Id="rId13" Type="http://schemas.openxmlformats.org/officeDocument/2006/relationships/hyperlink" Target="http://www.miblum.com/" TargetMode="External"/><Relationship Id="rId12" Type="http://schemas.openxmlformats.org/officeDocument/2006/relationships/hyperlink" Target="https://www.ishares.com/ch/institutional/en/products/307243/ishares-treasury-bond-0-1yr-ucits-et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lackrock.com/americas-offshore/en/products/287339/ishares-us-aggregate-bond-ucits-etf%23/" TargetMode="External"/><Relationship Id="rId15" Type="http://schemas.openxmlformats.org/officeDocument/2006/relationships/hyperlink" Target="http://www.smv.gob.pe/" TargetMode="External"/><Relationship Id="rId14" Type="http://schemas.openxmlformats.org/officeDocument/2006/relationships/hyperlink" Target="http://www.miblum.com/" TargetMode="External"/><Relationship Id="rId16"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ZJk+CxGmBfnawXYO7+R2OGZdGA==">CgMxLjAyCGguZ2pkZ3hzOABqMwoUc3VnZ2VzdC5qMnJtNnBtb2RmdnESG01hcmlhIE5pbGRhIFBhbGFjaW9zIEFyb25lc2ozChRzdWdnZXN0LmZ0eGoxYWJoYWI5cRIbTWFyaWEgTmlsZGEgUGFsYWNpb3MgQXJvbmVzciExanBHWXQ2ZlNFb2ktUnJtaGU5WmJ2TGZqaC05c09HWkw=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2024-02-28T15:15:00Z</dcterms:created>
  <dc:creator>USER</dc:creator>
</cp:coreProperties>
</file>